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E6658C">
      <w:pPr>
        <w:jc w:val="center"/>
        <w:rPr>
          <w:rFonts w:hint="eastAsia" w:ascii="宋体" w:hAnsi="宋体"/>
          <w:b/>
          <w:sz w:val="36"/>
          <w:szCs w:val="36"/>
        </w:rPr>
      </w:pPr>
      <w:r>
        <w:rPr>
          <w:rFonts w:hint="eastAsia" w:ascii="宋体" w:hAnsi="宋体"/>
          <w:b/>
          <w:sz w:val="36"/>
          <w:szCs w:val="36"/>
          <w:lang w:val="en-US" w:eastAsia="zh-CN"/>
        </w:rPr>
        <w:t>黄山市文化馆</w:t>
      </w:r>
      <w:r>
        <w:rPr>
          <w:rFonts w:hint="eastAsia" w:ascii="宋体" w:hAnsi="宋体"/>
          <w:b/>
          <w:sz w:val="36"/>
          <w:szCs w:val="36"/>
          <w:lang w:eastAsia="zh-CN"/>
        </w:rPr>
        <w:t>202</w:t>
      </w:r>
      <w:r>
        <w:rPr>
          <w:rFonts w:hint="eastAsia" w:ascii="宋体" w:hAnsi="宋体"/>
          <w:b/>
          <w:sz w:val="36"/>
          <w:szCs w:val="36"/>
          <w:lang w:val="en-US" w:eastAsia="zh-CN"/>
        </w:rPr>
        <w:t>4</w:t>
      </w:r>
      <w:r>
        <w:rPr>
          <w:rFonts w:ascii="宋体" w:hAnsi="宋体"/>
          <w:b/>
          <w:sz w:val="36"/>
          <w:szCs w:val="36"/>
        </w:rPr>
        <w:t>年</w:t>
      </w:r>
      <w:r>
        <w:rPr>
          <w:rFonts w:hint="eastAsia" w:ascii="宋体" w:hAnsi="宋体"/>
          <w:b/>
          <w:sz w:val="36"/>
          <w:szCs w:val="36"/>
        </w:rPr>
        <w:t>度一般公共预算财政拨款</w:t>
      </w:r>
      <w:r>
        <w:rPr>
          <w:rFonts w:ascii="宋体" w:hAnsi="宋体"/>
          <w:b/>
          <w:sz w:val="36"/>
          <w:szCs w:val="36"/>
        </w:rPr>
        <w:t>“三公</w:t>
      </w:r>
      <w:r>
        <w:rPr>
          <w:rFonts w:hint="eastAsia" w:ascii="宋体" w:hAnsi="宋体"/>
          <w:b/>
          <w:sz w:val="36"/>
          <w:szCs w:val="36"/>
        </w:rPr>
        <w:t>”</w:t>
      </w:r>
      <w:r>
        <w:rPr>
          <w:rFonts w:ascii="宋体" w:hAnsi="宋体"/>
          <w:b/>
          <w:sz w:val="36"/>
          <w:szCs w:val="36"/>
        </w:rPr>
        <w:t>经费</w:t>
      </w:r>
      <w:r>
        <w:rPr>
          <w:rFonts w:hint="eastAsia" w:ascii="宋体" w:hAnsi="宋体"/>
          <w:b/>
          <w:sz w:val="36"/>
          <w:szCs w:val="36"/>
        </w:rPr>
        <w:t>支出决算</w:t>
      </w:r>
    </w:p>
    <w:p w14:paraId="5ED1DC3C">
      <w:pPr>
        <w:jc w:val="center"/>
        <w:rPr>
          <w:rFonts w:hint="eastAsia" w:ascii="楷体_GB2312" w:eastAsia="楷体_GB2312"/>
          <w:szCs w:val="32"/>
        </w:rPr>
      </w:pPr>
    </w:p>
    <w:p w14:paraId="484B4F5E">
      <w:pPr>
        <w:ind w:firstLine="627"/>
        <w:rPr>
          <w:rFonts w:hint="eastAsia" w:ascii="黑体" w:hAnsi="黑体" w:eastAsia="黑体"/>
          <w:szCs w:val="32"/>
        </w:rPr>
      </w:pPr>
      <w:r>
        <w:rPr>
          <w:rFonts w:hint="eastAsia" w:ascii="黑体" w:hAnsi="黑体" w:eastAsia="黑体"/>
          <w:szCs w:val="32"/>
        </w:rPr>
        <w:t>一、</w:t>
      </w:r>
      <w:r>
        <w:rPr>
          <w:rFonts w:hint="eastAsia" w:ascii="黑体" w:hAnsi="黑体" w:eastAsia="黑体"/>
          <w:szCs w:val="32"/>
          <w:lang w:eastAsia="zh-CN"/>
        </w:rPr>
        <w:t>202</w:t>
      </w:r>
      <w:r>
        <w:rPr>
          <w:rFonts w:hint="eastAsia" w:ascii="黑体" w:hAnsi="黑体" w:eastAsia="黑体"/>
          <w:szCs w:val="32"/>
          <w:lang w:val="en-US" w:eastAsia="zh-CN"/>
        </w:rPr>
        <w:t>4</w:t>
      </w:r>
      <w:r>
        <w:rPr>
          <w:rFonts w:hint="eastAsia" w:ascii="黑体" w:hAnsi="黑体" w:eastAsia="黑体"/>
          <w:szCs w:val="32"/>
        </w:rPr>
        <w:t>年度一般公共预算财政拨款“三公”经费支出决算表</w:t>
      </w:r>
    </w:p>
    <w:tbl>
      <w:tblPr>
        <w:tblStyle w:val="5"/>
        <w:tblW w:w="8817" w:type="dxa"/>
        <w:tblInd w:w="0" w:type="dxa"/>
        <w:tblLayout w:type="fixed"/>
        <w:tblCellMar>
          <w:top w:w="0" w:type="dxa"/>
          <w:left w:w="0" w:type="dxa"/>
          <w:bottom w:w="0" w:type="dxa"/>
          <w:right w:w="0" w:type="dxa"/>
        </w:tblCellMar>
      </w:tblPr>
      <w:tblGrid>
        <w:gridCol w:w="597"/>
        <w:gridCol w:w="792"/>
        <w:gridCol w:w="588"/>
        <w:gridCol w:w="744"/>
        <w:gridCol w:w="960"/>
        <w:gridCol w:w="636"/>
        <w:gridCol w:w="600"/>
        <w:gridCol w:w="816"/>
        <w:gridCol w:w="696"/>
        <w:gridCol w:w="840"/>
        <w:gridCol w:w="936"/>
        <w:gridCol w:w="612"/>
      </w:tblGrid>
      <w:tr w14:paraId="2FD84970">
        <w:tblPrEx>
          <w:tblCellMar>
            <w:top w:w="0" w:type="dxa"/>
            <w:left w:w="0" w:type="dxa"/>
            <w:bottom w:w="0" w:type="dxa"/>
            <w:right w:w="0" w:type="dxa"/>
          </w:tblCellMar>
        </w:tblPrEx>
        <w:trPr>
          <w:trHeight w:val="290" w:hRule="atLeast"/>
        </w:trPr>
        <w:tc>
          <w:tcPr>
            <w:tcW w:w="597" w:type="dxa"/>
            <w:tcBorders>
              <w:top w:val="nil"/>
              <w:left w:val="nil"/>
              <w:bottom w:val="nil"/>
              <w:right w:val="nil"/>
            </w:tcBorders>
            <w:shd w:val="clear" w:color="auto" w:fill="FFFFFF"/>
            <w:noWrap/>
            <w:tcMar>
              <w:top w:w="12" w:type="dxa"/>
              <w:left w:w="12" w:type="dxa"/>
              <w:right w:w="12" w:type="dxa"/>
            </w:tcMar>
            <w:vAlign w:val="center"/>
          </w:tcPr>
          <w:p w14:paraId="257EBBE3">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792" w:type="dxa"/>
            <w:tcBorders>
              <w:top w:val="nil"/>
              <w:left w:val="nil"/>
              <w:bottom w:val="nil"/>
              <w:right w:val="nil"/>
            </w:tcBorders>
            <w:shd w:val="clear" w:color="auto" w:fill="FFFFFF"/>
            <w:noWrap w:val="0"/>
            <w:tcMar>
              <w:top w:w="12" w:type="dxa"/>
              <w:left w:w="12" w:type="dxa"/>
              <w:right w:w="12" w:type="dxa"/>
            </w:tcMar>
            <w:vAlign w:val="center"/>
          </w:tcPr>
          <w:p w14:paraId="237EC42E">
            <w:pPr>
              <w:rPr>
                <w:rFonts w:hint="eastAsia" w:ascii="宋体" w:hAnsi="宋体" w:eastAsia="宋体" w:cs="宋体"/>
                <w:i w:val="0"/>
                <w:color w:val="000000"/>
                <w:sz w:val="20"/>
                <w:szCs w:val="20"/>
                <w:u w:val="none"/>
              </w:rPr>
            </w:pPr>
          </w:p>
        </w:tc>
        <w:tc>
          <w:tcPr>
            <w:tcW w:w="588" w:type="dxa"/>
            <w:tcBorders>
              <w:top w:val="nil"/>
              <w:left w:val="nil"/>
              <w:bottom w:val="nil"/>
              <w:right w:val="nil"/>
            </w:tcBorders>
            <w:shd w:val="clear" w:color="auto" w:fill="FFFFFF"/>
            <w:noWrap w:val="0"/>
            <w:tcMar>
              <w:top w:w="12" w:type="dxa"/>
              <w:left w:w="12" w:type="dxa"/>
              <w:right w:w="12" w:type="dxa"/>
            </w:tcMar>
            <w:vAlign w:val="center"/>
          </w:tcPr>
          <w:p w14:paraId="58821690">
            <w:pPr>
              <w:rPr>
                <w:rFonts w:hint="eastAsia" w:ascii="宋体" w:hAnsi="宋体" w:eastAsia="宋体" w:cs="宋体"/>
                <w:i w:val="0"/>
                <w:color w:val="000000"/>
                <w:sz w:val="20"/>
                <w:szCs w:val="20"/>
                <w:u w:val="none"/>
              </w:rPr>
            </w:pPr>
          </w:p>
        </w:tc>
        <w:tc>
          <w:tcPr>
            <w:tcW w:w="744" w:type="dxa"/>
            <w:tcBorders>
              <w:top w:val="nil"/>
              <w:left w:val="nil"/>
              <w:bottom w:val="nil"/>
              <w:right w:val="nil"/>
            </w:tcBorders>
            <w:shd w:val="clear" w:color="auto" w:fill="FFFFFF"/>
            <w:noWrap w:val="0"/>
            <w:tcMar>
              <w:top w:w="12" w:type="dxa"/>
              <w:left w:w="12" w:type="dxa"/>
              <w:right w:w="12" w:type="dxa"/>
            </w:tcMar>
            <w:vAlign w:val="center"/>
          </w:tcPr>
          <w:p w14:paraId="4EDBC7A6">
            <w:pPr>
              <w:rPr>
                <w:rFonts w:hint="eastAsia" w:ascii="宋体" w:hAnsi="宋体" w:eastAsia="宋体" w:cs="宋体"/>
                <w:i w:val="0"/>
                <w:color w:val="000000"/>
                <w:sz w:val="20"/>
                <w:szCs w:val="20"/>
                <w:u w:val="none"/>
              </w:rPr>
            </w:pPr>
          </w:p>
        </w:tc>
        <w:tc>
          <w:tcPr>
            <w:tcW w:w="960" w:type="dxa"/>
            <w:tcBorders>
              <w:top w:val="nil"/>
              <w:left w:val="nil"/>
              <w:bottom w:val="nil"/>
              <w:right w:val="nil"/>
            </w:tcBorders>
            <w:shd w:val="clear" w:color="auto" w:fill="FFFFFF"/>
            <w:noWrap w:val="0"/>
            <w:tcMar>
              <w:top w:w="12" w:type="dxa"/>
              <w:left w:w="12" w:type="dxa"/>
              <w:right w:w="12" w:type="dxa"/>
            </w:tcMar>
            <w:vAlign w:val="center"/>
          </w:tcPr>
          <w:p w14:paraId="7C3CA433">
            <w:pPr>
              <w:rPr>
                <w:rFonts w:hint="eastAsia" w:ascii="宋体" w:hAnsi="宋体" w:eastAsia="宋体" w:cs="宋体"/>
                <w:i w:val="0"/>
                <w:color w:val="000000"/>
                <w:sz w:val="20"/>
                <w:szCs w:val="20"/>
                <w:u w:val="none"/>
              </w:rPr>
            </w:pPr>
          </w:p>
        </w:tc>
        <w:tc>
          <w:tcPr>
            <w:tcW w:w="636" w:type="dxa"/>
            <w:tcBorders>
              <w:top w:val="nil"/>
              <w:left w:val="nil"/>
              <w:bottom w:val="nil"/>
              <w:right w:val="nil"/>
            </w:tcBorders>
            <w:shd w:val="clear" w:color="auto" w:fill="FFFFFF"/>
            <w:noWrap w:val="0"/>
            <w:tcMar>
              <w:top w:w="12" w:type="dxa"/>
              <w:left w:w="12" w:type="dxa"/>
              <w:right w:w="12" w:type="dxa"/>
            </w:tcMar>
            <w:vAlign w:val="center"/>
          </w:tcPr>
          <w:p w14:paraId="2C6D03A8">
            <w:pPr>
              <w:rPr>
                <w:rFonts w:hint="eastAsia" w:ascii="宋体" w:hAnsi="宋体" w:eastAsia="宋体" w:cs="宋体"/>
                <w:i w:val="0"/>
                <w:color w:val="000000"/>
                <w:sz w:val="20"/>
                <w:szCs w:val="20"/>
                <w:u w:val="none"/>
              </w:rPr>
            </w:pPr>
          </w:p>
        </w:tc>
        <w:tc>
          <w:tcPr>
            <w:tcW w:w="600" w:type="dxa"/>
            <w:tcBorders>
              <w:top w:val="nil"/>
              <w:left w:val="nil"/>
              <w:bottom w:val="nil"/>
              <w:right w:val="nil"/>
            </w:tcBorders>
            <w:shd w:val="clear" w:color="auto" w:fill="FFFFFF"/>
            <w:noWrap w:val="0"/>
            <w:tcMar>
              <w:top w:w="12" w:type="dxa"/>
              <w:left w:w="12" w:type="dxa"/>
              <w:right w:w="12" w:type="dxa"/>
            </w:tcMar>
            <w:vAlign w:val="center"/>
          </w:tcPr>
          <w:p w14:paraId="0EAE8029">
            <w:pPr>
              <w:rPr>
                <w:rFonts w:hint="eastAsia" w:ascii="宋体" w:hAnsi="宋体" w:eastAsia="宋体" w:cs="宋体"/>
                <w:i w:val="0"/>
                <w:color w:val="000000"/>
                <w:sz w:val="20"/>
                <w:szCs w:val="20"/>
                <w:u w:val="none"/>
              </w:rPr>
            </w:pPr>
          </w:p>
        </w:tc>
        <w:tc>
          <w:tcPr>
            <w:tcW w:w="816" w:type="dxa"/>
            <w:tcBorders>
              <w:top w:val="nil"/>
              <w:left w:val="nil"/>
              <w:bottom w:val="nil"/>
              <w:right w:val="nil"/>
            </w:tcBorders>
            <w:shd w:val="clear" w:color="auto" w:fill="FFFFFF"/>
            <w:noWrap w:val="0"/>
            <w:tcMar>
              <w:top w:w="12" w:type="dxa"/>
              <w:left w:w="12" w:type="dxa"/>
              <w:right w:w="12" w:type="dxa"/>
            </w:tcMar>
            <w:vAlign w:val="center"/>
          </w:tcPr>
          <w:p w14:paraId="3C1FEA40">
            <w:pPr>
              <w:rPr>
                <w:rFonts w:hint="eastAsia" w:ascii="宋体" w:hAnsi="宋体" w:eastAsia="宋体" w:cs="宋体"/>
                <w:i w:val="0"/>
                <w:color w:val="000000"/>
                <w:sz w:val="20"/>
                <w:szCs w:val="20"/>
                <w:u w:val="none"/>
              </w:rPr>
            </w:pPr>
          </w:p>
        </w:tc>
        <w:tc>
          <w:tcPr>
            <w:tcW w:w="696" w:type="dxa"/>
            <w:tcBorders>
              <w:top w:val="nil"/>
              <w:left w:val="nil"/>
              <w:bottom w:val="nil"/>
              <w:right w:val="nil"/>
            </w:tcBorders>
            <w:shd w:val="clear" w:color="auto" w:fill="FFFFFF"/>
            <w:noWrap w:val="0"/>
            <w:tcMar>
              <w:top w:w="12" w:type="dxa"/>
              <w:left w:w="12" w:type="dxa"/>
              <w:right w:w="12" w:type="dxa"/>
            </w:tcMar>
            <w:vAlign w:val="center"/>
          </w:tcPr>
          <w:p w14:paraId="0E863E70">
            <w:pPr>
              <w:rPr>
                <w:rFonts w:hint="eastAsia" w:ascii="宋体" w:hAnsi="宋体" w:eastAsia="宋体" w:cs="宋体"/>
                <w:i w:val="0"/>
                <w:color w:val="000000"/>
                <w:sz w:val="20"/>
                <w:szCs w:val="20"/>
                <w:u w:val="none"/>
              </w:rPr>
            </w:pPr>
          </w:p>
        </w:tc>
        <w:tc>
          <w:tcPr>
            <w:tcW w:w="840" w:type="dxa"/>
            <w:tcBorders>
              <w:top w:val="nil"/>
              <w:left w:val="nil"/>
              <w:bottom w:val="nil"/>
              <w:right w:val="nil"/>
            </w:tcBorders>
            <w:shd w:val="clear" w:color="auto" w:fill="FFFFFF"/>
            <w:noWrap w:val="0"/>
            <w:tcMar>
              <w:top w:w="12" w:type="dxa"/>
              <w:left w:w="12" w:type="dxa"/>
              <w:right w:w="12" w:type="dxa"/>
            </w:tcMar>
            <w:vAlign w:val="center"/>
          </w:tcPr>
          <w:p w14:paraId="6BB1EFB3">
            <w:pPr>
              <w:rPr>
                <w:rFonts w:hint="eastAsia" w:ascii="宋体" w:hAnsi="宋体" w:eastAsia="宋体" w:cs="宋体"/>
                <w:i w:val="0"/>
                <w:color w:val="000000"/>
                <w:sz w:val="20"/>
                <w:szCs w:val="20"/>
                <w:u w:val="none"/>
              </w:rPr>
            </w:pPr>
          </w:p>
        </w:tc>
        <w:tc>
          <w:tcPr>
            <w:tcW w:w="1548" w:type="dxa"/>
            <w:gridSpan w:val="2"/>
            <w:tcBorders>
              <w:top w:val="nil"/>
              <w:left w:val="nil"/>
              <w:bottom w:val="nil"/>
              <w:right w:val="nil"/>
            </w:tcBorders>
            <w:shd w:val="clear" w:color="auto" w:fill="FFFFFF"/>
            <w:noWrap w:val="0"/>
            <w:tcMar>
              <w:top w:w="12" w:type="dxa"/>
              <w:left w:w="12" w:type="dxa"/>
              <w:right w:w="12" w:type="dxa"/>
            </w:tcMar>
            <w:vAlign w:val="center"/>
          </w:tcPr>
          <w:p w14:paraId="3E936241">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Arial"/>
                <w:color w:val="000000"/>
                <w:kern w:val="0"/>
                <w:sz w:val="22"/>
                <w:szCs w:val="22"/>
              </w:rPr>
              <w:t>金额单位</w:t>
            </w:r>
            <w:r>
              <w:rPr>
                <w:rFonts w:hint="eastAsia" w:ascii="宋体" w:hAnsi="宋体" w:eastAsia="宋体" w:cs="宋体"/>
                <w:i w:val="0"/>
                <w:color w:val="000000"/>
                <w:kern w:val="0"/>
                <w:sz w:val="20"/>
                <w:szCs w:val="20"/>
                <w:u w:val="none"/>
                <w:lang w:val="en-US" w:eastAsia="zh-CN" w:bidi="ar"/>
              </w:rPr>
              <w:t>：万元</w:t>
            </w:r>
          </w:p>
        </w:tc>
      </w:tr>
      <w:tr w14:paraId="15A6DC06">
        <w:tblPrEx>
          <w:tblCellMar>
            <w:top w:w="0" w:type="dxa"/>
            <w:left w:w="0" w:type="dxa"/>
            <w:bottom w:w="0" w:type="dxa"/>
            <w:right w:w="0" w:type="dxa"/>
          </w:tblCellMar>
        </w:tblPrEx>
        <w:trPr>
          <w:trHeight w:val="540" w:hRule="atLeast"/>
        </w:trPr>
        <w:tc>
          <w:tcPr>
            <w:tcW w:w="4317" w:type="dxa"/>
            <w:gridSpan w:val="6"/>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112DA4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预算数</w:t>
            </w:r>
          </w:p>
        </w:tc>
        <w:tc>
          <w:tcPr>
            <w:tcW w:w="4500" w:type="dxa"/>
            <w:gridSpan w:val="6"/>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F5B666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决算数</w:t>
            </w:r>
          </w:p>
        </w:tc>
      </w:tr>
      <w:tr w14:paraId="558B18D5">
        <w:tblPrEx>
          <w:tblCellMar>
            <w:top w:w="0" w:type="dxa"/>
            <w:left w:w="0" w:type="dxa"/>
            <w:bottom w:w="0" w:type="dxa"/>
            <w:right w:w="0" w:type="dxa"/>
          </w:tblCellMar>
        </w:tblPrEx>
        <w:trPr>
          <w:trHeight w:val="578" w:hRule="atLeast"/>
        </w:trPr>
        <w:tc>
          <w:tcPr>
            <w:tcW w:w="597"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25FAFD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合计</w:t>
            </w:r>
          </w:p>
        </w:tc>
        <w:tc>
          <w:tcPr>
            <w:tcW w:w="792"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DB0AEF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因公出国（境）费</w:t>
            </w:r>
          </w:p>
        </w:tc>
        <w:tc>
          <w:tcPr>
            <w:tcW w:w="2292" w:type="dxa"/>
            <w:gridSpan w:val="3"/>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D90B5E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公务用车购置及运行维护费</w:t>
            </w:r>
          </w:p>
        </w:tc>
        <w:tc>
          <w:tcPr>
            <w:tcW w:w="636"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411708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公务接待费</w:t>
            </w:r>
          </w:p>
        </w:tc>
        <w:tc>
          <w:tcPr>
            <w:tcW w:w="600"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D502D6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合计</w:t>
            </w:r>
          </w:p>
        </w:tc>
        <w:tc>
          <w:tcPr>
            <w:tcW w:w="816"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1EC606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因公出国（境）费</w:t>
            </w:r>
          </w:p>
        </w:tc>
        <w:tc>
          <w:tcPr>
            <w:tcW w:w="2472" w:type="dxa"/>
            <w:gridSpan w:val="3"/>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2617D3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0"/>
                <w:szCs w:val="20"/>
                <w:u w:val="none"/>
                <w:lang w:val="en-US" w:eastAsia="zh-CN" w:bidi="ar"/>
              </w:rPr>
              <w:t>公务用车购置及运行维护费</w:t>
            </w:r>
          </w:p>
        </w:tc>
        <w:tc>
          <w:tcPr>
            <w:tcW w:w="612"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38D7EC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公务接待费</w:t>
            </w:r>
          </w:p>
        </w:tc>
      </w:tr>
      <w:tr w14:paraId="626F9637">
        <w:tblPrEx>
          <w:tblCellMar>
            <w:top w:w="0" w:type="dxa"/>
            <w:left w:w="0" w:type="dxa"/>
            <w:bottom w:w="0" w:type="dxa"/>
            <w:right w:w="0" w:type="dxa"/>
          </w:tblCellMar>
        </w:tblPrEx>
        <w:trPr>
          <w:trHeight w:val="578" w:hRule="atLeast"/>
        </w:trPr>
        <w:tc>
          <w:tcPr>
            <w:tcW w:w="597"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69E614E">
            <w:pPr>
              <w:jc w:val="center"/>
              <w:rPr>
                <w:rFonts w:hint="eastAsia" w:ascii="宋体" w:hAnsi="宋体" w:eastAsia="宋体" w:cs="宋体"/>
                <w:i w:val="0"/>
                <w:color w:val="000000"/>
                <w:sz w:val="18"/>
                <w:szCs w:val="18"/>
                <w:u w:val="none"/>
              </w:rPr>
            </w:pPr>
          </w:p>
        </w:tc>
        <w:tc>
          <w:tcPr>
            <w:tcW w:w="792"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4C5A274">
            <w:pPr>
              <w:jc w:val="center"/>
              <w:rPr>
                <w:rFonts w:hint="eastAsia" w:ascii="宋体" w:hAnsi="宋体" w:eastAsia="宋体" w:cs="宋体"/>
                <w:i w:val="0"/>
                <w:color w:val="000000"/>
                <w:sz w:val="18"/>
                <w:szCs w:val="18"/>
                <w:u w:val="none"/>
              </w:rPr>
            </w:pPr>
          </w:p>
        </w:tc>
        <w:tc>
          <w:tcPr>
            <w:tcW w:w="58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F1273A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小计</w:t>
            </w:r>
          </w:p>
        </w:tc>
        <w:tc>
          <w:tcPr>
            <w:tcW w:w="7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AC2F61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公务用车购置费</w:t>
            </w:r>
          </w:p>
        </w:tc>
        <w:tc>
          <w:tcPr>
            <w:tcW w:w="96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3A07A2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公务用车运行维护费</w:t>
            </w:r>
          </w:p>
        </w:tc>
        <w:tc>
          <w:tcPr>
            <w:tcW w:w="636"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95B72EF">
            <w:pPr>
              <w:jc w:val="center"/>
              <w:rPr>
                <w:rFonts w:hint="eastAsia" w:ascii="宋体" w:hAnsi="宋体" w:eastAsia="宋体" w:cs="宋体"/>
                <w:i w:val="0"/>
                <w:color w:val="000000"/>
                <w:sz w:val="18"/>
                <w:szCs w:val="18"/>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C93E3D0">
            <w:pPr>
              <w:jc w:val="center"/>
              <w:rPr>
                <w:rFonts w:hint="eastAsia" w:ascii="宋体" w:hAnsi="宋体" w:eastAsia="宋体" w:cs="宋体"/>
                <w:i w:val="0"/>
                <w:color w:val="000000"/>
                <w:sz w:val="18"/>
                <w:szCs w:val="18"/>
                <w:u w:val="none"/>
              </w:rPr>
            </w:pPr>
          </w:p>
        </w:tc>
        <w:tc>
          <w:tcPr>
            <w:tcW w:w="816"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0A46BE5">
            <w:pPr>
              <w:jc w:val="center"/>
              <w:rPr>
                <w:rFonts w:hint="eastAsia" w:ascii="宋体" w:hAnsi="宋体" w:eastAsia="宋体" w:cs="宋体"/>
                <w:i w:val="0"/>
                <w:color w:val="000000"/>
                <w:sz w:val="18"/>
                <w:szCs w:val="18"/>
                <w:u w:val="none"/>
              </w:rPr>
            </w:pPr>
          </w:p>
        </w:tc>
        <w:tc>
          <w:tcPr>
            <w:tcW w:w="69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D26777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小计</w:t>
            </w:r>
          </w:p>
        </w:tc>
        <w:tc>
          <w:tcPr>
            <w:tcW w:w="8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57DCC7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公务用车购置费</w:t>
            </w:r>
          </w:p>
        </w:tc>
        <w:tc>
          <w:tcPr>
            <w:tcW w:w="93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9BB206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公务用车运行维护费</w:t>
            </w:r>
          </w:p>
        </w:tc>
        <w:tc>
          <w:tcPr>
            <w:tcW w:w="612"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4FB31A0">
            <w:pPr>
              <w:jc w:val="center"/>
              <w:rPr>
                <w:rFonts w:hint="eastAsia" w:ascii="宋体" w:hAnsi="宋体" w:eastAsia="宋体" w:cs="宋体"/>
                <w:i w:val="0"/>
                <w:color w:val="000000"/>
                <w:sz w:val="18"/>
                <w:szCs w:val="18"/>
                <w:u w:val="none"/>
              </w:rPr>
            </w:pPr>
          </w:p>
        </w:tc>
      </w:tr>
      <w:tr w14:paraId="3732909F">
        <w:tblPrEx>
          <w:tblCellMar>
            <w:top w:w="0" w:type="dxa"/>
            <w:left w:w="0" w:type="dxa"/>
            <w:bottom w:w="0" w:type="dxa"/>
            <w:right w:w="0" w:type="dxa"/>
          </w:tblCellMar>
        </w:tblPrEx>
        <w:trPr>
          <w:trHeight w:val="540" w:hRule="atLeast"/>
        </w:trPr>
        <w:tc>
          <w:tcPr>
            <w:tcW w:w="59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D4A3A8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79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0749B4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58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768430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7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F961FF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96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FCDB76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63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AE7544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6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7DD9B5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81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5FBF7D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69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2A2213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8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50CB7E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93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00EAE2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61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492212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r>
      <w:tr w14:paraId="577C6EA1">
        <w:tblPrEx>
          <w:tblCellMar>
            <w:top w:w="0" w:type="dxa"/>
            <w:left w:w="0" w:type="dxa"/>
            <w:bottom w:w="0" w:type="dxa"/>
            <w:right w:w="0" w:type="dxa"/>
          </w:tblCellMar>
        </w:tblPrEx>
        <w:trPr>
          <w:trHeight w:val="414" w:hRule="atLeast"/>
        </w:trPr>
        <w:tc>
          <w:tcPr>
            <w:tcW w:w="59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331445A">
            <w:pPr>
              <w:jc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2.20</w:t>
            </w:r>
          </w:p>
        </w:tc>
        <w:tc>
          <w:tcPr>
            <w:tcW w:w="79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E9C5E14">
            <w:pPr>
              <w:jc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0</w:t>
            </w:r>
          </w:p>
        </w:tc>
        <w:tc>
          <w:tcPr>
            <w:tcW w:w="58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BF51C33">
            <w:pPr>
              <w:jc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0</w:t>
            </w:r>
          </w:p>
        </w:tc>
        <w:tc>
          <w:tcPr>
            <w:tcW w:w="7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62872C8">
            <w:pPr>
              <w:jc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0</w:t>
            </w:r>
          </w:p>
        </w:tc>
        <w:tc>
          <w:tcPr>
            <w:tcW w:w="96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CA8250F">
            <w:pPr>
              <w:jc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0</w:t>
            </w:r>
          </w:p>
        </w:tc>
        <w:tc>
          <w:tcPr>
            <w:tcW w:w="63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4C4DBF2">
            <w:pPr>
              <w:tabs>
                <w:tab w:val="left" w:pos="272"/>
              </w:tabs>
              <w:jc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2.20</w:t>
            </w:r>
          </w:p>
        </w:tc>
        <w:tc>
          <w:tcPr>
            <w:tcW w:w="6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FA8AF1C">
            <w:pPr>
              <w:jc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0.16</w:t>
            </w:r>
          </w:p>
        </w:tc>
        <w:tc>
          <w:tcPr>
            <w:tcW w:w="81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F0F4E3D">
            <w:pPr>
              <w:jc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0</w:t>
            </w:r>
          </w:p>
        </w:tc>
        <w:tc>
          <w:tcPr>
            <w:tcW w:w="69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19B363B">
            <w:pPr>
              <w:jc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0</w:t>
            </w:r>
          </w:p>
        </w:tc>
        <w:tc>
          <w:tcPr>
            <w:tcW w:w="8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00FC3C2">
            <w:pPr>
              <w:jc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0</w:t>
            </w:r>
          </w:p>
        </w:tc>
        <w:tc>
          <w:tcPr>
            <w:tcW w:w="93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593290A">
            <w:pPr>
              <w:jc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0</w:t>
            </w:r>
          </w:p>
        </w:tc>
        <w:tc>
          <w:tcPr>
            <w:tcW w:w="61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DF42869">
            <w:pPr>
              <w:jc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0.16</w:t>
            </w:r>
          </w:p>
        </w:tc>
      </w:tr>
    </w:tbl>
    <w:p w14:paraId="21178278">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eastAsia" w:ascii="黑体" w:hAnsi="黑体" w:eastAsia="黑体"/>
          <w:szCs w:val="32"/>
        </w:rPr>
      </w:pPr>
      <w:r>
        <w:rPr>
          <w:rFonts w:hint="eastAsia" w:ascii="仿宋_GB2312" w:hAnsi="仿宋"/>
          <w:sz w:val="21"/>
          <w:szCs w:val="21"/>
          <w:lang w:val="en-US" w:eastAsia="zh-CN"/>
        </w:rPr>
        <w:t>注：本表反映单位本年度一般公共预算财政拨款“三公”经费支出预决算情况。其中，预算数为“三公”经费全年预算数，反映按规定程序调整后的预算数;决算数是包括当年一般公共预算财政拨款和以前年度结转资金安排的实际支出。</w:t>
      </w:r>
      <w:r>
        <w:rPr>
          <w:rFonts w:hint="eastAsia" w:ascii="仿宋_GB2312" w:hAnsi="仿宋"/>
          <w:sz w:val="21"/>
          <w:szCs w:val="21"/>
          <w:lang w:eastAsia="zh-CN"/>
        </w:rPr>
        <w:t xml:space="preserve"> </w:t>
      </w:r>
      <w:r>
        <w:rPr>
          <w:rFonts w:hint="eastAsia" w:ascii="仿宋_GB2312" w:hAnsi="仿宋"/>
          <w:szCs w:val="32"/>
          <w:lang w:eastAsia="zh-CN"/>
        </w:rPr>
        <w:t xml:space="preserve">  </w:t>
      </w:r>
      <w:r>
        <w:rPr>
          <w:rFonts w:hint="eastAsia" w:ascii="黑体" w:hAnsi="黑体" w:eastAsia="黑体"/>
          <w:szCs w:val="32"/>
        </w:rPr>
        <w:t xml:space="preserve">                                    </w:t>
      </w:r>
    </w:p>
    <w:p w14:paraId="4323A63F">
      <w:pPr>
        <w:rPr>
          <w:rFonts w:hint="eastAsia" w:ascii="黑体" w:hAnsi="黑体" w:eastAsia="黑体"/>
          <w:szCs w:val="32"/>
        </w:rPr>
      </w:pPr>
      <w:r>
        <w:rPr>
          <w:rFonts w:ascii="黑体" w:hAnsi="黑体" w:eastAsia="黑体"/>
          <w:szCs w:val="32"/>
        </w:rPr>
        <w:t xml:space="preserve">    </w:t>
      </w:r>
      <w:r>
        <w:rPr>
          <w:rFonts w:hint="eastAsia" w:ascii="黑体" w:hAnsi="黑体" w:eastAsia="黑体"/>
          <w:szCs w:val="32"/>
        </w:rPr>
        <w:t>二</w:t>
      </w:r>
      <w:r>
        <w:rPr>
          <w:rFonts w:ascii="黑体" w:hAnsi="黑体" w:eastAsia="黑体"/>
          <w:szCs w:val="32"/>
        </w:rPr>
        <w:t>、</w:t>
      </w:r>
      <w:r>
        <w:rPr>
          <w:rFonts w:hint="eastAsia" w:ascii="黑体" w:hAnsi="黑体" w:eastAsia="黑体"/>
          <w:szCs w:val="32"/>
          <w:lang w:eastAsia="zh-CN"/>
        </w:rPr>
        <w:t>202</w:t>
      </w:r>
      <w:r>
        <w:rPr>
          <w:rFonts w:hint="eastAsia" w:ascii="黑体" w:hAnsi="黑体" w:eastAsia="黑体"/>
          <w:szCs w:val="32"/>
          <w:lang w:val="en-US" w:eastAsia="zh-CN"/>
        </w:rPr>
        <w:t>4</w:t>
      </w:r>
      <w:r>
        <w:rPr>
          <w:rFonts w:ascii="黑体" w:hAnsi="黑体" w:eastAsia="黑体"/>
          <w:szCs w:val="32"/>
        </w:rPr>
        <w:t>年</w:t>
      </w:r>
      <w:r>
        <w:rPr>
          <w:rFonts w:hint="eastAsia" w:ascii="黑体" w:hAnsi="黑体" w:eastAsia="黑体"/>
          <w:szCs w:val="32"/>
        </w:rPr>
        <w:t>度一般公共预算财政拨款“三公”经费支出</w:t>
      </w:r>
      <w:r>
        <w:rPr>
          <w:rFonts w:ascii="黑体" w:hAnsi="黑体" w:eastAsia="黑体"/>
          <w:szCs w:val="32"/>
        </w:rPr>
        <w:t>情况说明</w:t>
      </w:r>
    </w:p>
    <w:p w14:paraId="5F7E02CB">
      <w:pPr>
        <w:ind w:firstLine="628" w:firstLineChars="200"/>
        <w:rPr>
          <w:rFonts w:hint="eastAsia" w:ascii="仿宋_GB2312" w:hAnsi="仿宋"/>
          <w:b/>
          <w:szCs w:val="32"/>
        </w:rPr>
      </w:pPr>
      <w:r>
        <w:rPr>
          <w:rFonts w:hint="eastAsia" w:ascii="仿宋_GB2312" w:hAnsi="仿宋"/>
          <w:b/>
          <w:szCs w:val="32"/>
        </w:rPr>
        <w:t>（一）一般公共预算财政拨款“三公”经费支出决算总体情况说明。</w:t>
      </w:r>
    </w:p>
    <w:p w14:paraId="2916B3BC">
      <w:pPr>
        <w:ind w:firstLine="628" w:firstLineChars="200"/>
        <w:rPr>
          <w:rFonts w:hint="eastAsia" w:ascii="仿宋_GB2312" w:hAnsi="仿宋"/>
          <w:szCs w:val="32"/>
        </w:rPr>
      </w:pPr>
      <w:r>
        <w:rPr>
          <w:rFonts w:hint="eastAsia" w:ascii="仿宋_GB2312" w:hAnsi="仿宋"/>
          <w:szCs w:val="32"/>
          <w:lang w:val="en-US" w:eastAsia="zh-CN"/>
        </w:rPr>
        <w:t>黄山市</w:t>
      </w:r>
      <w:r>
        <w:rPr>
          <w:rFonts w:hint="eastAsia" w:ascii="仿宋_GB2312" w:hAnsi="仿宋"/>
          <w:szCs w:val="32"/>
          <w:lang w:eastAsia="zh-CN"/>
        </w:rPr>
        <w:t>文化馆202</w:t>
      </w:r>
      <w:r>
        <w:rPr>
          <w:rFonts w:hint="eastAsia" w:ascii="仿宋_GB2312" w:hAnsi="仿宋"/>
          <w:szCs w:val="32"/>
          <w:lang w:val="en-US" w:eastAsia="zh-CN"/>
        </w:rPr>
        <w:t>4</w:t>
      </w:r>
      <w:r>
        <w:rPr>
          <w:rFonts w:hint="eastAsia" w:ascii="仿宋_GB2312" w:hAnsi="仿宋"/>
          <w:szCs w:val="32"/>
        </w:rPr>
        <w:t>年度一般公共预算财政拨款“三公”经费支出预算为</w:t>
      </w:r>
      <w:r>
        <w:rPr>
          <w:rFonts w:hint="eastAsia" w:ascii="仿宋_GB2312" w:hAnsi="仿宋"/>
          <w:szCs w:val="32"/>
          <w:lang w:val="en-US" w:eastAsia="zh-CN"/>
        </w:rPr>
        <w:t>2.2</w:t>
      </w:r>
      <w:r>
        <w:rPr>
          <w:rFonts w:hint="eastAsia" w:ascii="仿宋_GB2312" w:hAnsi="仿宋"/>
          <w:szCs w:val="32"/>
        </w:rPr>
        <w:t>万元，支出决算为</w:t>
      </w:r>
      <w:r>
        <w:rPr>
          <w:rFonts w:hint="eastAsia" w:ascii="仿宋_GB2312" w:hAnsi="仿宋"/>
          <w:szCs w:val="32"/>
          <w:lang w:val="en-US" w:eastAsia="zh-CN"/>
        </w:rPr>
        <w:t>0.16</w:t>
      </w:r>
      <w:r>
        <w:rPr>
          <w:rFonts w:hint="eastAsia" w:ascii="仿宋_GB2312" w:hAnsi="仿宋"/>
          <w:szCs w:val="32"/>
        </w:rPr>
        <w:t>万元，完成预算的</w:t>
      </w:r>
      <w:r>
        <w:rPr>
          <w:rFonts w:hint="eastAsia" w:ascii="仿宋_GB2312" w:hAnsi="仿宋"/>
          <w:szCs w:val="32"/>
          <w:lang w:val="en-US" w:eastAsia="zh-CN"/>
        </w:rPr>
        <w:t>7.3</w:t>
      </w:r>
      <w:r>
        <w:rPr>
          <w:rFonts w:hint="eastAsia" w:ascii="仿宋_GB2312" w:hAnsi="仿宋"/>
          <w:szCs w:val="32"/>
        </w:rPr>
        <w:t>%，</w:t>
      </w:r>
      <w:r>
        <w:rPr>
          <w:rFonts w:hint="eastAsia" w:ascii="仿宋_GB2312" w:hAnsi="仿宋"/>
          <w:szCs w:val="32"/>
          <w:lang w:eastAsia="zh-CN"/>
        </w:rPr>
        <w:t>较上年减少</w:t>
      </w:r>
      <w:r>
        <w:rPr>
          <w:rFonts w:hint="eastAsia" w:ascii="仿宋_GB2312" w:hAnsi="仿宋"/>
          <w:szCs w:val="32"/>
          <w:lang w:val="en-US" w:eastAsia="zh-CN"/>
        </w:rPr>
        <w:t>0.13</w:t>
      </w:r>
      <w:r>
        <w:rPr>
          <w:rFonts w:hint="eastAsia" w:ascii="仿宋_GB2312" w:hAnsi="仿宋"/>
          <w:szCs w:val="32"/>
        </w:rPr>
        <w:t>万元</w:t>
      </w:r>
      <w:r>
        <w:rPr>
          <w:rFonts w:hint="eastAsia" w:ascii="仿宋_GB2312" w:hAnsi="仿宋"/>
          <w:szCs w:val="32"/>
          <w:lang w:eastAsia="zh-CN"/>
        </w:rPr>
        <w:t>，下降</w:t>
      </w:r>
      <w:r>
        <w:rPr>
          <w:rFonts w:hint="eastAsia" w:ascii="仿宋_GB2312" w:hAnsi="仿宋"/>
          <w:szCs w:val="32"/>
          <w:lang w:val="en-US" w:eastAsia="zh-CN"/>
        </w:rPr>
        <w:t>44.83%。</w:t>
      </w:r>
      <w:r>
        <w:rPr>
          <w:rFonts w:hint="eastAsia" w:ascii="仿宋_GB2312" w:hAnsi="仿宋"/>
          <w:szCs w:val="32"/>
        </w:rPr>
        <w:t>决算数</w:t>
      </w:r>
      <w:r>
        <w:rPr>
          <w:rFonts w:hint="eastAsia" w:ascii="仿宋_GB2312" w:hAnsi="仿宋"/>
          <w:szCs w:val="32"/>
          <w:lang w:eastAsia="zh-CN"/>
        </w:rPr>
        <w:t>小</w:t>
      </w:r>
      <w:r>
        <w:rPr>
          <w:rFonts w:hint="eastAsia" w:ascii="仿宋_GB2312" w:hAnsi="仿宋"/>
          <w:szCs w:val="32"/>
        </w:rPr>
        <w:t>于预算数</w:t>
      </w:r>
      <w:r>
        <w:rPr>
          <w:rFonts w:hint="eastAsia" w:ascii="仿宋_GB2312" w:hAnsi="仿宋"/>
          <w:szCs w:val="32"/>
          <w:lang w:eastAsia="zh-CN"/>
        </w:rPr>
        <w:t>和上年数</w:t>
      </w:r>
      <w:r>
        <w:rPr>
          <w:rFonts w:hint="eastAsia" w:ascii="仿宋_GB2312" w:hAnsi="仿宋"/>
          <w:szCs w:val="32"/>
        </w:rPr>
        <w:t>的主要原因是</w:t>
      </w:r>
      <w:r>
        <w:rPr>
          <w:rFonts w:hint="eastAsia" w:ascii="仿宋_GB2312" w:hAnsi="仿宋" w:cs="Times New Roman"/>
          <w:color w:val="auto"/>
          <w:szCs w:val="32"/>
        </w:rPr>
        <w:t>厉行节约，压缩三公经费支出</w:t>
      </w:r>
      <w:r>
        <w:rPr>
          <w:rFonts w:hint="eastAsia" w:ascii="仿宋_GB2312" w:hAnsi="仿宋"/>
          <w:szCs w:val="32"/>
        </w:rPr>
        <w:t>。</w:t>
      </w:r>
    </w:p>
    <w:p w14:paraId="526FE23C">
      <w:pPr>
        <w:ind w:firstLine="628" w:firstLineChars="200"/>
        <w:rPr>
          <w:rFonts w:hint="eastAsia" w:ascii="仿宋_GB2312" w:hAnsi="仿宋"/>
          <w:b/>
          <w:szCs w:val="32"/>
        </w:rPr>
      </w:pPr>
      <w:r>
        <w:rPr>
          <w:rFonts w:hint="eastAsia" w:ascii="仿宋_GB2312" w:hAnsi="仿宋"/>
          <w:b/>
          <w:bCs/>
          <w:szCs w:val="32"/>
        </w:rPr>
        <w:t>（二）</w:t>
      </w:r>
      <w:r>
        <w:rPr>
          <w:rFonts w:hint="eastAsia" w:ascii="仿宋_GB2312" w:hAnsi="仿宋"/>
          <w:b/>
          <w:szCs w:val="32"/>
        </w:rPr>
        <w:t>一般公共预算财政拨款“三公”经费支出决算具体情况说明。</w:t>
      </w:r>
    </w:p>
    <w:p w14:paraId="68B6B95D">
      <w:pPr>
        <w:ind w:firstLine="628" w:firstLineChars="200"/>
        <w:rPr>
          <w:rFonts w:hint="eastAsia" w:ascii="仿宋_GB2312" w:hAnsi="仿宋"/>
          <w:szCs w:val="32"/>
        </w:rPr>
      </w:pPr>
      <w:r>
        <w:rPr>
          <w:rFonts w:hint="eastAsia" w:ascii="仿宋_GB2312" w:hAnsi="仿宋"/>
          <w:szCs w:val="32"/>
          <w:lang w:val="en-US" w:eastAsia="zh-CN"/>
        </w:rPr>
        <w:t>黄山市</w:t>
      </w:r>
      <w:r>
        <w:rPr>
          <w:rFonts w:hint="eastAsia" w:ascii="仿宋_GB2312" w:hAnsi="仿宋"/>
          <w:szCs w:val="32"/>
          <w:lang w:eastAsia="zh-CN"/>
        </w:rPr>
        <w:t>文化馆202</w:t>
      </w:r>
      <w:r>
        <w:rPr>
          <w:rFonts w:hint="eastAsia" w:ascii="仿宋_GB2312" w:hAnsi="仿宋"/>
          <w:szCs w:val="32"/>
          <w:lang w:val="en-US" w:eastAsia="zh-CN"/>
        </w:rPr>
        <w:t>4</w:t>
      </w:r>
      <w:r>
        <w:rPr>
          <w:rFonts w:hint="eastAsia" w:ascii="仿宋_GB2312" w:hAnsi="仿宋"/>
          <w:szCs w:val="32"/>
        </w:rPr>
        <w:t>年度一般公共预算财政拨款“三公”经费支出决算中，因公出国（境）费支出决算</w:t>
      </w:r>
      <w:r>
        <w:rPr>
          <w:rFonts w:hint="eastAsia" w:ascii="仿宋_GB2312" w:hAnsi="仿宋"/>
          <w:szCs w:val="32"/>
          <w:lang w:val="en-US" w:eastAsia="zh-CN"/>
        </w:rPr>
        <w:t>0</w:t>
      </w:r>
      <w:r>
        <w:rPr>
          <w:rFonts w:hint="eastAsia" w:ascii="仿宋_GB2312" w:hAnsi="仿宋"/>
          <w:szCs w:val="32"/>
        </w:rPr>
        <w:t>万元，占</w:t>
      </w:r>
      <w:r>
        <w:rPr>
          <w:rFonts w:hint="eastAsia" w:ascii="仿宋_GB2312" w:hAnsi="仿宋"/>
          <w:szCs w:val="32"/>
          <w:lang w:val="en-US" w:eastAsia="zh-CN"/>
        </w:rPr>
        <w:t>0</w:t>
      </w:r>
      <w:r>
        <w:rPr>
          <w:rFonts w:hint="eastAsia" w:ascii="仿宋_GB2312" w:hAnsi="仿宋"/>
          <w:szCs w:val="32"/>
        </w:rPr>
        <w:t>%;公务接待费支出决算</w:t>
      </w:r>
      <w:r>
        <w:rPr>
          <w:rFonts w:hint="eastAsia" w:ascii="仿宋_GB2312" w:hAnsi="仿宋"/>
          <w:szCs w:val="32"/>
          <w:lang w:val="en-US" w:eastAsia="zh-CN"/>
        </w:rPr>
        <w:t>0.16</w:t>
      </w:r>
      <w:r>
        <w:rPr>
          <w:rFonts w:hint="eastAsia" w:ascii="仿宋_GB2312" w:hAnsi="仿宋"/>
          <w:szCs w:val="32"/>
        </w:rPr>
        <w:t>万元，占</w:t>
      </w:r>
      <w:r>
        <w:rPr>
          <w:rFonts w:hint="eastAsia" w:ascii="仿宋_GB2312" w:hAnsi="仿宋"/>
          <w:szCs w:val="32"/>
          <w:lang w:val="en-US" w:eastAsia="zh-CN"/>
        </w:rPr>
        <w:t>100</w:t>
      </w:r>
      <w:r>
        <w:rPr>
          <w:rFonts w:hint="eastAsia" w:ascii="仿宋_GB2312" w:hAnsi="仿宋"/>
          <w:szCs w:val="32"/>
        </w:rPr>
        <w:t>%；公务用车购置及运行维护费支出决算</w:t>
      </w:r>
      <w:r>
        <w:rPr>
          <w:rFonts w:hint="eastAsia" w:ascii="仿宋_GB2312" w:hAnsi="仿宋"/>
          <w:szCs w:val="32"/>
          <w:lang w:val="en-US" w:eastAsia="zh-CN"/>
        </w:rPr>
        <w:t>0</w:t>
      </w:r>
      <w:r>
        <w:rPr>
          <w:rFonts w:hint="eastAsia" w:ascii="仿宋_GB2312" w:hAnsi="仿宋"/>
          <w:szCs w:val="32"/>
        </w:rPr>
        <w:t>万元，占</w:t>
      </w:r>
      <w:r>
        <w:rPr>
          <w:rFonts w:hint="eastAsia" w:ascii="仿宋_GB2312" w:hAnsi="仿宋"/>
          <w:szCs w:val="32"/>
          <w:lang w:val="en-US" w:eastAsia="zh-CN"/>
        </w:rPr>
        <w:t>0</w:t>
      </w:r>
      <w:r>
        <w:rPr>
          <w:rFonts w:hint="eastAsia" w:ascii="仿宋_GB2312" w:hAnsi="仿宋"/>
          <w:szCs w:val="32"/>
        </w:rPr>
        <w:t>%。具体情况如下：</w:t>
      </w:r>
    </w:p>
    <w:p w14:paraId="4F1EBC80">
      <w:pPr>
        <w:ind w:firstLine="628"/>
        <w:rPr>
          <w:rFonts w:hint="eastAsia" w:ascii="仿宋_GB2312" w:hAnsi="仿宋" w:eastAsia="仿宋_GB2312"/>
          <w:color w:val="auto"/>
          <w:szCs w:val="32"/>
          <w:lang w:eastAsia="zh-CN"/>
        </w:rPr>
      </w:pPr>
      <w:r>
        <w:rPr>
          <w:rFonts w:hint="eastAsia" w:ascii="仿宋_GB2312" w:hAnsi="仿宋"/>
          <w:b/>
          <w:bCs/>
          <w:szCs w:val="32"/>
        </w:rPr>
        <w:t>1.因公出国（境）费</w:t>
      </w:r>
      <w:r>
        <w:rPr>
          <w:rFonts w:hint="eastAsia" w:ascii="仿宋_GB2312" w:hAnsi="仿宋"/>
          <w:szCs w:val="32"/>
          <w:lang w:eastAsia="zh-CN"/>
        </w:rPr>
        <w:t>预算为</w:t>
      </w:r>
      <w:r>
        <w:rPr>
          <w:rFonts w:hint="eastAsia" w:ascii="仿宋_GB2312" w:hAnsi="仿宋"/>
          <w:szCs w:val="32"/>
          <w:lang w:val="en-US" w:eastAsia="zh-CN"/>
        </w:rPr>
        <w:t>0</w:t>
      </w:r>
      <w:r>
        <w:rPr>
          <w:rFonts w:hint="eastAsia" w:ascii="仿宋_GB2312" w:hAnsi="仿宋"/>
          <w:szCs w:val="32"/>
          <w:lang w:eastAsia="zh-CN"/>
        </w:rPr>
        <w:t>万元，支出决算为</w:t>
      </w:r>
      <w:r>
        <w:rPr>
          <w:rFonts w:hint="eastAsia" w:ascii="仿宋_GB2312" w:hAnsi="仿宋"/>
          <w:szCs w:val="32"/>
          <w:lang w:val="en-US" w:eastAsia="zh-CN"/>
        </w:rPr>
        <w:t>0万元</w:t>
      </w:r>
      <w:r>
        <w:rPr>
          <w:rFonts w:hint="eastAsia" w:ascii="仿宋_GB2312" w:hAnsi="仿宋"/>
          <w:szCs w:val="32"/>
          <w:lang w:eastAsia="zh-CN"/>
        </w:rPr>
        <w:t>，完成预算的</w:t>
      </w:r>
      <w:r>
        <w:rPr>
          <w:rFonts w:hint="eastAsia" w:ascii="仿宋_GB2312" w:hAnsi="仿宋"/>
          <w:szCs w:val="32"/>
          <w:lang w:val="en-US" w:eastAsia="zh-CN"/>
        </w:rPr>
        <w:t>100</w:t>
      </w:r>
      <w:r>
        <w:rPr>
          <w:rFonts w:hint="eastAsia" w:ascii="仿宋_GB2312" w:hAnsi="仿宋"/>
          <w:szCs w:val="32"/>
          <w:lang w:eastAsia="zh-CN"/>
        </w:rPr>
        <w:t>%，</w:t>
      </w:r>
      <w:r>
        <w:rPr>
          <w:rFonts w:hint="eastAsia" w:ascii="仿宋_GB2312" w:hAnsi="仿宋" w:cs="Times New Roman"/>
          <w:szCs w:val="32"/>
          <w:lang w:eastAsia="zh-CN"/>
        </w:rPr>
        <w:t>决算数与预算数相同；较上年减少</w:t>
      </w:r>
      <w:r>
        <w:rPr>
          <w:rFonts w:hint="eastAsia" w:ascii="仿宋_GB2312" w:hAnsi="仿宋" w:cs="Times New Roman"/>
          <w:szCs w:val="32"/>
          <w:lang w:val="en-US" w:eastAsia="zh-CN"/>
        </w:rPr>
        <w:t>0</w:t>
      </w:r>
      <w:r>
        <w:rPr>
          <w:rFonts w:hint="eastAsia" w:ascii="仿宋_GB2312" w:hAnsi="仿宋" w:cs="Times New Roman"/>
          <w:szCs w:val="32"/>
          <w:lang w:eastAsia="zh-CN"/>
        </w:rPr>
        <w:t>万元，下降</w:t>
      </w:r>
      <w:r>
        <w:rPr>
          <w:rFonts w:hint="eastAsia" w:ascii="仿宋_GB2312" w:hAnsi="仿宋" w:cs="Times New Roman"/>
          <w:szCs w:val="32"/>
          <w:lang w:val="en-US" w:eastAsia="zh-CN"/>
        </w:rPr>
        <w:t>0%。</w:t>
      </w:r>
      <w:r>
        <w:rPr>
          <w:rFonts w:hint="eastAsia" w:ascii="仿宋_GB2312" w:hAnsi="仿宋" w:cs="Times New Roman"/>
          <w:szCs w:val="32"/>
          <w:lang w:eastAsia="zh-CN"/>
        </w:rPr>
        <w:t>原因是</w:t>
      </w:r>
      <w:r>
        <w:rPr>
          <w:rFonts w:hint="eastAsia" w:ascii="仿宋_GB2312" w:hAnsi="仿宋" w:cs="Times New Roman"/>
          <w:szCs w:val="32"/>
          <w:lang w:val="en-US" w:eastAsia="zh-CN"/>
        </w:rPr>
        <w:t>2023年度、</w:t>
      </w:r>
      <w:r>
        <w:rPr>
          <w:rFonts w:hint="eastAsia" w:ascii="仿宋_GB2312" w:hAnsi="仿宋" w:cs="Times New Roman"/>
          <w:szCs w:val="32"/>
          <w:lang w:eastAsia="zh-CN"/>
        </w:rPr>
        <w:t>202</w:t>
      </w:r>
      <w:r>
        <w:rPr>
          <w:rFonts w:hint="eastAsia" w:ascii="仿宋_GB2312" w:hAnsi="仿宋" w:cs="Times New Roman"/>
          <w:szCs w:val="32"/>
          <w:lang w:val="en-US" w:eastAsia="zh-CN"/>
        </w:rPr>
        <w:t>4</w:t>
      </w:r>
      <w:r>
        <w:rPr>
          <w:rFonts w:hint="eastAsia" w:ascii="仿宋_GB2312" w:hAnsi="仿宋" w:cs="Times New Roman"/>
          <w:szCs w:val="32"/>
          <w:lang w:eastAsia="zh-CN"/>
        </w:rPr>
        <w:t>年度均未安排因公出国（境）计划。故</w:t>
      </w:r>
      <w:r>
        <w:rPr>
          <w:rFonts w:hint="eastAsia" w:ascii="仿宋_GB2312" w:hAnsi="仿宋"/>
          <w:szCs w:val="32"/>
          <w:lang w:eastAsia="zh-CN"/>
        </w:rPr>
        <w:t>202</w:t>
      </w:r>
      <w:r>
        <w:rPr>
          <w:rFonts w:hint="eastAsia" w:ascii="仿宋_GB2312" w:hAnsi="仿宋"/>
          <w:szCs w:val="32"/>
          <w:lang w:val="en-US" w:eastAsia="zh-CN"/>
        </w:rPr>
        <w:t>4</w:t>
      </w:r>
      <w:r>
        <w:rPr>
          <w:rFonts w:hint="eastAsia" w:ascii="仿宋_GB2312" w:hAnsi="仿宋"/>
          <w:szCs w:val="32"/>
        </w:rPr>
        <w:t>年</w:t>
      </w:r>
      <w:r>
        <w:rPr>
          <w:rFonts w:hint="eastAsia" w:ascii="仿宋_GB2312" w:hAnsi="仿宋"/>
          <w:szCs w:val="32"/>
          <w:lang w:val="en-US" w:eastAsia="zh-CN"/>
        </w:rPr>
        <w:t>黄山市</w:t>
      </w:r>
      <w:r>
        <w:rPr>
          <w:rFonts w:hint="eastAsia" w:ascii="仿宋_GB2312" w:hAnsi="仿宋"/>
          <w:szCs w:val="32"/>
          <w:lang w:eastAsia="zh-CN"/>
        </w:rPr>
        <w:t>文化馆</w:t>
      </w:r>
      <w:r>
        <w:rPr>
          <w:rFonts w:hint="eastAsia" w:ascii="仿宋_GB2312" w:hAnsi="仿宋"/>
          <w:szCs w:val="32"/>
        </w:rPr>
        <w:t>因公出国（境）团组</w:t>
      </w:r>
      <w:r>
        <w:rPr>
          <w:rFonts w:hint="eastAsia" w:ascii="仿宋_GB2312" w:hAnsi="仿宋"/>
          <w:szCs w:val="32"/>
          <w:lang w:val="en-US" w:eastAsia="zh-CN"/>
        </w:rPr>
        <w:t>0</w:t>
      </w:r>
      <w:r>
        <w:rPr>
          <w:rFonts w:hint="eastAsia" w:ascii="仿宋_GB2312" w:hAnsi="仿宋"/>
          <w:szCs w:val="32"/>
        </w:rPr>
        <w:t>次，累计出国（境）</w:t>
      </w:r>
      <w:r>
        <w:rPr>
          <w:rFonts w:hint="eastAsia" w:ascii="仿宋_GB2312" w:hAnsi="仿宋"/>
          <w:szCs w:val="32"/>
          <w:lang w:val="en-US" w:eastAsia="zh-CN"/>
        </w:rPr>
        <w:t>0</w:t>
      </w:r>
      <w:r>
        <w:rPr>
          <w:rFonts w:hint="eastAsia" w:ascii="仿宋_GB2312" w:hAnsi="仿宋"/>
          <w:szCs w:val="32"/>
        </w:rPr>
        <w:t>人次。</w:t>
      </w:r>
    </w:p>
    <w:p w14:paraId="7921BBB2">
      <w:pPr>
        <w:ind w:firstLine="628" w:firstLineChars="200"/>
        <w:rPr>
          <w:rFonts w:hint="eastAsia" w:ascii="仿宋_GB2312" w:hAnsi="仿宋"/>
          <w:color w:val="auto"/>
          <w:szCs w:val="32"/>
        </w:rPr>
      </w:pPr>
      <w:r>
        <w:rPr>
          <w:rFonts w:hint="eastAsia" w:ascii="仿宋_GB2312" w:hAnsi="仿宋"/>
          <w:b/>
          <w:bCs/>
          <w:szCs w:val="32"/>
        </w:rPr>
        <w:t>2.公务接待费</w:t>
      </w:r>
      <w:r>
        <w:rPr>
          <w:rFonts w:hint="eastAsia" w:ascii="仿宋_GB2312" w:hAnsi="仿宋"/>
          <w:szCs w:val="32"/>
          <w:lang w:eastAsia="zh-CN"/>
        </w:rPr>
        <w:t>预算为</w:t>
      </w:r>
      <w:r>
        <w:rPr>
          <w:rFonts w:hint="eastAsia" w:ascii="仿宋_GB2312" w:hAnsi="仿宋"/>
          <w:szCs w:val="32"/>
          <w:lang w:val="en-US" w:eastAsia="zh-CN"/>
        </w:rPr>
        <w:t>2.2</w:t>
      </w:r>
      <w:r>
        <w:rPr>
          <w:rFonts w:hint="eastAsia" w:ascii="仿宋_GB2312" w:hAnsi="仿宋"/>
          <w:szCs w:val="32"/>
          <w:lang w:eastAsia="zh-CN"/>
        </w:rPr>
        <w:t>万元，支出决算为</w:t>
      </w:r>
      <w:r>
        <w:rPr>
          <w:rFonts w:hint="eastAsia" w:ascii="仿宋_GB2312" w:hAnsi="仿宋"/>
          <w:szCs w:val="32"/>
          <w:lang w:val="en-US" w:eastAsia="zh-CN"/>
        </w:rPr>
        <w:t>0.16万元</w:t>
      </w:r>
      <w:r>
        <w:rPr>
          <w:rFonts w:hint="eastAsia" w:ascii="仿宋_GB2312" w:hAnsi="仿宋"/>
          <w:szCs w:val="32"/>
          <w:lang w:eastAsia="zh-CN"/>
        </w:rPr>
        <w:t>，完成预算的</w:t>
      </w:r>
      <w:r>
        <w:rPr>
          <w:rFonts w:hint="eastAsia" w:ascii="仿宋_GB2312" w:hAnsi="仿宋"/>
          <w:szCs w:val="32"/>
          <w:lang w:val="en-US" w:eastAsia="zh-CN"/>
        </w:rPr>
        <w:t>7.3</w:t>
      </w:r>
      <w:r>
        <w:rPr>
          <w:rFonts w:hint="eastAsia" w:ascii="仿宋_GB2312" w:hAnsi="仿宋"/>
          <w:szCs w:val="32"/>
          <w:lang w:eastAsia="zh-CN"/>
        </w:rPr>
        <w:t>%；较上年减少</w:t>
      </w:r>
      <w:r>
        <w:rPr>
          <w:rFonts w:hint="eastAsia" w:ascii="仿宋_GB2312" w:hAnsi="仿宋"/>
          <w:szCs w:val="32"/>
          <w:lang w:val="en-US" w:eastAsia="zh-CN"/>
        </w:rPr>
        <w:t>0.13</w:t>
      </w:r>
      <w:r>
        <w:rPr>
          <w:rFonts w:hint="eastAsia" w:ascii="仿宋_GB2312" w:hAnsi="仿宋"/>
          <w:szCs w:val="32"/>
          <w:lang w:eastAsia="zh-CN"/>
        </w:rPr>
        <w:t>万元，下降</w:t>
      </w:r>
      <w:r>
        <w:rPr>
          <w:rFonts w:hint="eastAsia" w:ascii="仿宋_GB2312" w:hAnsi="仿宋"/>
          <w:szCs w:val="32"/>
          <w:lang w:val="en-US" w:eastAsia="zh-CN"/>
        </w:rPr>
        <w:t>44.83%。</w:t>
      </w:r>
      <w:r>
        <w:rPr>
          <w:rFonts w:hint="eastAsia" w:ascii="仿宋_GB2312" w:hAnsi="仿宋"/>
          <w:szCs w:val="32"/>
          <w:lang w:eastAsia="zh-CN"/>
        </w:rPr>
        <w:t>决算数小于预算数和上年数的主要原因是</w:t>
      </w:r>
      <w:r>
        <w:rPr>
          <w:rFonts w:hint="eastAsia" w:ascii="仿宋_GB2312" w:hAnsi="仿宋" w:cs="Times New Roman"/>
          <w:color w:val="auto"/>
          <w:szCs w:val="32"/>
        </w:rPr>
        <w:t>厉行节约，压缩三公经费支出</w:t>
      </w:r>
      <w:r>
        <w:rPr>
          <w:rFonts w:hint="eastAsia" w:ascii="仿宋_GB2312" w:hAnsi="仿宋"/>
          <w:szCs w:val="32"/>
          <w:lang w:eastAsia="zh-CN"/>
        </w:rPr>
        <w:t>。202</w:t>
      </w:r>
      <w:r>
        <w:rPr>
          <w:rFonts w:hint="eastAsia" w:ascii="仿宋_GB2312" w:hAnsi="仿宋"/>
          <w:szCs w:val="32"/>
          <w:lang w:val="en-US" w:eastAsia="zh-CN"/>
        </w:rPr>
        <w:t>4</w:t>
      </w:r>
      <w:r>
        <w:rPr>
          <w:rFonts w:hint="eastAsia" w:ascii="仿宋_GB2312" w:hAnsi="仿宋"/>
          <w:szCs w:val="32"/>
        </w:rPr>
        <w:t>年</w:t>
      </w:r>
      <w:r>
        <w:rPr>
          <w:rFonts w:hint="eastAsia" w:ascii="仿宋_GB2312" w:hAnsi="仿宋"/>
          <w:szCs w:val="32"/>
          <w:lang w:eastAsia="zh-CN"/>
        </w:rPr>
        <w:t>安徽省黄山市文化馆</w:t>
      </w:r>
      <w:r>
        <w:rPr>
          <w:rFonts w:hint="eastAsia" w:ascii="仿宋_GB2312" w:hAnsi="仿宋"/>
          <w:szCs w:val="32"/>
        </w:rPr>
        <w:t>国内公务接待共</w:t>
      </w:r>
      <w:r>
        <w:rPr>
          <w:rFonts w:hint="eastAsia" w:ascii="仿宋_GB2312" w:hAnsi="仿宋"/>
          <w:szCs w:val="32"/>
          <w:lang w:val="en-US" w:eastAsia="zh-CN"/>
        </w:rPr>
        <w:t>2</w:t>
      </w:r>
      <w:r>
        <w:rPr>
          <w:rFonts w:hint="eastAsia" w:ascii="仿宋_GB2312" w:hAnsi="仿宋"/>
          <w:szCs w:val="32"/>
        </w:rPr>
        <w:t>批次（其中外事接待</w:t>
      </w:r>
      <w:r>
        <w:rPr>
          <w:rFonts w:hint="eastAsia" w:ascii="仿宋_GB2312" w:hAnsi="仿宋"/>
          <w:szCs w:val="32"/>
          <w:lang w:val="en-US" w:eastAsia="zh-CN"/>
        </w:rPr>
        <w:t>0</w:t>
      </w:r>
      <w:r>
        <w:rPr>
          <w:rFonts w:hint="eastAsia" w:ascii="仿宋_GB2312" w:hAnsi="仿宋"/>
          <w:szCs w:val="32"/>
        </w:rPr>
        <w:t>批次），</w:t>
      </w:r>
      <w:r>
        <w:rPr>
          <w:rFonts w:hint="eastAsia" w:ascii="仿宋_GB2312" w:hAnsi="仿宋"/>
          <w:szCs w:val="32"/>
          <w:lang w:val="en-US" w:eastAsia="zh-CN"/>
        </w:rPr>
        <w:t>23</w:t>
      </w:r>
      <w:bookmarkStart w:id="0" w:name="_GoBack"/>
      <w:bookmarkEnd w:id="0"/>
      <w:r>
        <w:rPr>
          <w:rFonts w:hint="eastAsia" w:ascii="仿宋_GB2312" w:hAnsi="仿宋"/>
          <w:szCs w:val="32"/>
        </w:rPr>
        <w:t>人次（其中外事接待</w:t>
      </w:r>
      <w:r>
        <w:rPr>
          <w:rFonts w:hint="eastAsia" w:ascii="仿宋_GB2312" w:hAnsi="仿宋"/>
          <w:szCs w:val="32"/>
          <w:lang w:val="en-US" w:eastAsia="zh-CN"/>
        </w:rPr>
        <w:t>0</w:t>
      </w:r>
      <w:r>
        <w:rPr>
          <w:rFonts w:hint="eastAsia" w:ascii="仿宋_GB2312" w:hAnsi="仿宋"/>
          <w:szCs w:val="32"/>
        </w:rPr>
        <w:t>人次）。主要是用于</w:t>
      </w:r>
      <w:r>
        <w:rPr>
          <w:rFonts w:hint="eastAsia" w:ascii="仿宋_GB2312" w:hAnsi="仿宋" w:cs="Times New Roman"/>
          <w:color w:val="auto"/>
          <w:szCs w:val="32"/>
          <w:u w:val="none"/>
          <w:lang w:eastAsia="zh-CN"/>
        </w:rPr>
        <w:t>接待系统内单位交流、工作调研等财政公务往来支出</w:t>
      </w:r>
      <w:r>
        <w:rPr>
          <w:rFonts w:hint="eastAsia" w:ascii="仿宋_GB2312" w:hAnsi="仿宋"/>
          <w:szCs w:val="32"/>
        </w:rPr>
        <w:t>。</w:t>
      </w:r>
      <w:r>
        <w:rPr>
          <w:rFonts w:hint="eastAsia" w:ascii="仿宋_GB2312" w:hAnsi="仿宋"/>
          <w:color w:val="auto"/>
          <w:szCs w:val="32"/>
        </w:rPr>
        <w:t>经费使用贯彻中央八项规定</w:t>
      </w:r>
      <w:r>
        <w:rPr>
          <w:rFonts w:hint="eastAsia" w:ascii="仿宋_GB2312" w:hAnsi="仿宋"/>
          <w:color w:val="auto"/>
          <w:szCs w:val="32"/>
          <w:lang w:eastAsia="zh-CN"/>
        </w:rPr>
        <w:t>精神</w:t>
      </w:r>
      <w:r>
        <w:rPr>
          <w:rFonts w:hint="eastAsia" w:ascii="仿宋_GB2312" w:hAnsi="仿宋"/>
          <w:color w:val="auto"/>
          <w:szCs w:val="32"/>
        </w:rPr>
        <w:t>，严格执行《党政机关厉行节约反对浪费条例</w:t>
      </w:r>
      <w:r>
        <w:rPr>
          <w:rFonts w:hint="eastAsia" w:ascii="仿宋_GB2312" w:hAnsi="仿宋"/>
          <w:color w:val="auto"/>
          <w:szCs w:val="32"/>
          <w:lang w:eastAsia="zh-CN"/>
        </w:rPr>
        <w:t>》</w:t>
      </w:r>
      <w:r>
        <w:rPr>
          <w:rFonts w:hint="eastAsia" w:ascii="仿宋_GB2312" w:hAnsi="仿宋"/>
          <w:color w:val="auto"/>
          <w:szCs w:val="32"/>
        </w:rPr>
        <w:t>《黄山市党政机关国内公务接待管理细则》（黄办〔2014〕21号）、《黄山市党政机关国内公务考察及公务接待管理暂行办法》（黄办〔2013〕11号）、《黄山市市直机关外宾接待经费管理办法》（黄财行〔2014〕317号）、《关于进一步加强公务接待经费管理的通知》（黄财行〔2015〕315号）</w:t>
      </w:r>
      <w:r>
        <w:rPr>
          <w:rFonts w:hint="eastAsia" w:ascii="仿宋_GB2312" w:hAnsi="仿宋"/>
          <w:color w:val="auto"/>
          <w:szCs w:val="32"/>
          <w:lang w:eastAsia="zh-CN"/>
        </w:rPr>
        <w:t>等</w:t>
      </w:r>
      <w:r>
        <w:rPr>
          <w:rFonts w:hint="eastAsia" w:ascii="仿宋_GB2312" w:hAnsi="仿宋"/>
          <w:color w:val="auto"/>
          <w:szCs w:val="32"/>
        </w:rPr>
        <w:t>相关规定。</w:t>
      </w:r>
    </w:p>
    <w:p w14:paraId="0B368E27">
      <w:pPr>
        <w:ind w:firstLine="628" w:firstLineChars="200"/>
        <w:rPr>
          <w:rFonts w:hint="eastAsia"/>
        </w:rPr>
      </w:pPr>
      <w:r>
        <w:rPr>
          <w:rFonts w:hint="eastAsia" w:ascii="仿宋_GB2312" w:hAnsi="仿宋"/>
          <w:b/>
          <w:bCs/>
          <w:szCs w:val="32"/>
        </w:rPr>
        <w:t>3.公务用车购置及运行维护费</w:t>
      </w:r>
      <w:r>
        <w:rPr>
          <w:rFonts w:hint="eastAsia" w:ascii="仿宋_GB2312" w:hAnsi="仿宋"/>
          <w:szCs w:val="32"/>
          <w:lang w:eastAsia="zh-CN"/>
        </w:rPr>
        <w:t>预算为</w:t>
      </w:r>
      <w:r>
        <w:rPr>
          <w:rFonts w:hint="eastAsia" w:ascii="仿宋_GB2312" w:hAnsi="仿宋"/>
          <w:szCs w:val="32"/>
          <w:lang w:val="en-US" w:eastAsia="zh-CN"/>
        </w:rPr>
        <w:t>0</w:t>
      </w:r>
      <w:r>
        <w:rPr>
          <w:rFonts w:hint="eastAsia" w:ascii="仿宋_GB2312" w:hAnsi="仿宋"/>
          <w:szCs w:val="32"/>
          <w:lang w:eastAsia="zh-CN"/>
        </w:rPr>
        <w:t>万元，支出决算为</w:t>
      </w:r>
      <w:r>
        <w:rPr>
          <w:rFonts w:hint="eastAsia" w:ascii="仿宋_GB2312" w:hAnsi="仿宋"/>
          <w:szCs w:val="32"/>
          <w:lang w:val="en-US" w:eastAsia="zh-CN"/>
        </w:rPr>
        <w:t>0万元</w:t>
      </w:r>
      <w:r>
        <w:rPr>
          <w:rFonts w:hint="eastAsia" w:ascii="仿宋_GB2312" w:hAnsi="仿宋"/>
          <w:szCs w:val="32"/>
          <w:lang w:eastAsia="zh-CN"/>
        </w:rPr>
        <w:t>，完成预算的</w:t>
      </w:r>
      <w:r>
        <w:rPr>
          <w:rFonts w:hint="eastAsia" w:ascii="仿宋_GB2312" w:hAnsi="仿宋"/>
          <w:szCs w:val="32"/>
          <w:lang w:val="en-US" w:eastAsia="zh-CN"/>
        </w:rPr>
        <w:t>100</w:t>
      </w:r>
      <w:r>
        <w:rPr>
          <w:rFonts w:hint="eastAsia" w:ascii="仿宋_GB2312" w:hAnsi="仿宋"/>
          <w:szCs w:val="32"/>
          <w:lang w:eastAsia="zh-CN"/>
        </w:rPr>
        <w:t>%，</w:t>
      </w:r>
      <w:r>
        <w:rPr>
          <w:rFonts w:hint="eastAsia" w:ascii="仿宋_GB2312" w:hAnsi="仿宋" w:cs="Times New Roman"/>
          <w:szCs w:val="32"/>
          <w:lang w:eastAsia="zh-CN"/>
        </w:rPr>
        <w:t>决算数与预算数相同；</w:t>
      </w:r>
      <w:r>
        <w:rPr>
          <w:rFonts w:hint="eastAsia" w:ascii="仿宋_GB2312" w:hAnsi="仿宋"/>
          <w:szCs w:val="32"/>
          <w:lang w:eastAsia="zh-CN"/>
        </w:rPr>
        <w:t>较上年减少</w:t>
      </w:r>
      <w:r>
        <w:rPr>
          <w:rFonts w:hint="eastAsia" w:ascii="仿宋_GB2312" w:hAnsi="仿宋"/>
          <w:szCs w:val="32"/>
          <w:lang w:val="en-US" w:eastAsia="zh-CN"/>
        </w:rPr>
        <w:t>0</w:t>
      </w:r>
      <w:r>
        <w:rPr>
          <w:rFonts w:hint="eastAsia" w:ascii="仿宋_GB2312" w:hAnsi="仿宋"/>
          <w:szCs w:val="32"/>
          <w:lang w:eastAsia="zh-CN"/>
        </w:rPr>
        <w:t>万元，下降</w:t>
      </w:r>
      <w:r>
        <w:rPr>
          <w:rFonts w:hint="eastAsia" w:ascii="仿宋_GB2312" w:hAnsi="仿宋"/>
          <w:szCs w:val="32"/>
          <w:lang w:val="en-US" w:eastAsia="zh-CN"/>
        </w:rPr>
        <w:t>0%。</w:t>
      </w:r>
      <w:r>
        <w:rPr>
          <w:rFonts w:hint="eastAsia" w:ascii="仿宋_GB2312" w:hAnsi="仿宋"/>
          <w:szCs w:val="32"/>
          <w:lang w:eastAsia="zh-CN"/>
        </w:rPr>
        <w:t>原因是</w:t>
      </w:r>
      <w:r>
        <w:rPr>
          <w:rFonts w:hint="eastAsia" w:ascii="仿宋_GB2312" w:hAnsi="仿宋"/>
          <w:color w:val="auto"/>
          <w:szCs w:val="32"/>
          <w:u w:val="none"/>
          <w:lang w:val="en-US" w:eastAsia="zh-CN"/>
        </w:rPr>
        <w:t>2023年、2024年</w:t>
      </w:r>
      <w:r>
        <w:rPr>
          <w:rFonts w:hint="eastAsia" w:ascii="仿宋_GB2312" w:hAnsi="仿宋"/>
          <w:color w:val="auto"/>
          <w:szCs w:val="32"/>
          <w:u w:val="none"/>
          <w:lang w:eastAsia="zh-CN"/>
        </w:rPr>
        <w:t>均未安排公务用车购置及运行维护费支出</w:t>
      </w:r>
      <w:r>
        <w:rPr>
          <w:rFonts w:hint="eastAsia" w:ascii="仿宋_GB2312" w:hAnsi="仿宋"/>
          <w:color w:val="auto"/>
          <w:szCs w:val="32"/>
          <w:u w:val="none"/>
        </w:rPr>
        <w:t>。</w:t>
      </w:r>
      <w:r>
        <w:rPr>
          <w:rFonts w:hint="eastAsia" w:ascii="仿宋_GB2312" w:hAnsi="仿宋"/>
          <w:szCs w:val="32"/>
        </w:rPr>
        <w:t>其中，公务用车购</w:t>
      </w:r>
      <w:r>
        <w:rPr>
          <w:rFonts w:hint="eastAsia" w:ascii="仿宋_GB2312" w:hAnsi="仿宋"/>
          <w:szCs w:val="32"/>
          <w:lang w:eastAsia="zh-CN"/>
        </w:rPr>
        <w:t>置费预算为</w:t>
      </w:r>
      <w:r>
        <w:rPr>
          <w:rFonts w:hint="eastAsia" w:ascii="仿宋_GB2312" w:hAnsi="仿宋"/>
          <w:szCs w:val="32"/>
          <w:lang w:val="en-US" w:eastAsia="zh-CN"/>
        </w:rPr>
        <w:t>0</w:t>
      </w:r>
      <w:r>
        <w:rPr>
          <w:rFonts w:hint="eastAsia" w:ascii="仿宋_GB2312" w:hAnsi="仿宋"/>
          <w:szCs w:val="32"/>
          <w:lang w:eastAsia="zh-CN"/>
        </w:rPr>
        <w:t>万元，支出决算为</w:t>
      </w:r>
      <w:r>
        <w:rPr>
          <w:rFonts w:hint="eastAsia" w:ascii="仿宋_GB2312" w:hAnsi="仿宋"/>
          <w:szCs w:val="32"/>
          <w:lang w:val="en-US" w:eastAsia="zh-CN"/>
        </w:rPr>
        <w:t>0万元</w:t>
      </w:r>
      <w:r>
        <w:rPr>
          <w:rFonts w:hint="eastAsia" w:ascii="仿宋_GB2312" w:hAnsi="仿宋"/>
          <w:szCs w:val="32"/>
          <w:lang w:eastAsia="zh-CN"/>
        </w:rPr>
        <w:t>，完成预算的</w:t>
      </w:r>
      <w:r>
        <w:rPr>
          <w:rFonts w:hint="eastAsia" w:ascii="仿宋_GB2312" w:hAnsi="仿宋"/>
          <w:szCs w:val="32"/>
          <w:lang w:val="en-US" w:eastAsia="zh-CN"/>
        </w:rPr>
        <w:t>100</w:t>
      </w:r>
      <w:r>
        <w:rPr>
          <w:rFonts w:hint="eastAsia" w:ascii="仿宋_GB2312" w:hAnsi="仿宋"/>
          <w:szCs w:val="32"/>
          <w:lang w:eastAsia="zh-CN"/>
        </w:rPr>
        <w:t>%，</w:t>
      </w:r>
      <w:r>
        <w:rPr>
          <w:rFonts w:hint="eastAsia" w:ascii="仿宋_GB2312" w:hAnsi="仿宋" w:cs="Times New Roman"/>
          <w:szCs w:val="32"/>
          <w:lang w:eastAsia="zh-CN"/>
        </w:rPr>
        <w:t>决算数与预算数相同</w:t>
      </w:r>
      <w:r>
        <w:rPr>
          <w:rFonts w:hint="eastAsia" w:ascii="仿宋_GB2312" w:hAnsi="仿宋"/>
          <w:szCs w:val="32"/>
          <w:lang w:eastAsia="zh-CN"/>
        </w:rPr>
        <w:t>；较上年减少</w:t>
      </w:r>
      <w:r>
        <w:rPr>
          <w:rFonts w:hint="eastAsia" w:ascii="仿宋_GB2312" w:hAnsi="仿宋"/>
          <w:szCs w:val="32"/>
          <w:lang w:val="en-US" w:eastAsia="zh-CN"/>
        </w:rPr>
        <w:t>0</w:t>
      </w:r>
      <w:r>
        <w:rPr>
          <w:rFonts w:hint="eastAsia" w:ascii="仿宋_GB2312" w:hAnsi="仿宋"/>
          <w:szCs w:val="32"/>
          <w:lang w:eastAsia="zh-CN"/>
        </w:rPr>
        <w:t>万元，下降</w:t>
      </w:r>
      <w:r>
        <w:rPr>
          <w:rFonts w:hint="eastAsia" w:ascii="仿宋_GB2312" w:hAnsi="仿宋"/>
          <w:szCs w:val="32"/>
          <w:lang w:val="en-US" w:eastAsia="zh-CN"/>
        </w:rPr>
        <w:t>0%。</w:t>
      </w:r>
      <w:r>
        <w:rPr>
          <w:rFonts w:hint="eastAsia" w:ascii="仿宋_GB2312" w:hAnsi="仿宋"/>
          <w:szCs w:val="32"/>
          <w:lang w:eastAsia="zh-CN"/>
        </w:rPr>
        <w:t>原因是</w:t>
      </w:r>
      <w:r>
        <w:rPr>
          <w:rFonts w:hint="eastAsia" w:ascii="仿宋_GB2312" w:hAnsi="仿宋"/>
          <w:color w:val="auto"/>
          <w:szCs w:val="32"/>
          <w:u w:val="none"/>
          <w:lang w:val="en-US" w:eastAsia="zh-CN"/>
        </w:rPr>
        <w:t>2023年、2024年</w:t>
      </w:r>
      <w:r>
        <w:rPr>
          <w:rFonts w:hint="eastAsia" w:ascii="仿宋_GB2312" w:hAnsi="仿宋"/>
          <w:color w:val="auto"/>
          <w:szCs w:val="32"/>
          <w:u w:val="none"/>
          <w:lang w:eastAsia="zh-CN"/>
        </w:rPr>
        <w:t>均未安排公务用车购置</w:t>
      </w:r>
      <w:r>
        <w:rPr>
          <w:rFonts w:hint="eastAsia" w:ascii="仿宋_GB2312" w:hAnsi="仿宋"/>
          <w:szCs w:val="32"/>
          <w:lang w:eastAsia="zh-CN"/>
        </w:rPr>
        <w:t>。202</w:t>
      </w:r>
      <w:r>
        <w:rPr>
          <w:rFonts w:hint="eastAsia" w:ascii="仿宋_GB2312" w:hAnsi="仿宋"/>
          <w:szCs w:val="32"/>
          <w:lang w:val="en-US" w:eastAsia="zh-CN"/>
        </w:rPr>
        <w:t>4</w:t>
      </w:r>
      <w:r>
        <w:rPr>
          <w:rFonts w:hint="eastAsia" w:ascii="仿宋_GB2312" w:hAnsi="仿宋"/>
          <w:szCs w:val="32"/>
        </w:rPr>
        <w:t>年</w:t>
      </w:r>
      <w:r>
        <w:rPr>
          <w:rFonts w:hint="eastAsia" w:ascii="仿宋_GB2312" w:hAnsi="仿宋"/>
          <w:szCs w:val="32"/>
          <w:lang w:eastAsia="zh-CN"/>
        </w:rPr>
        <w:t>没有安排</w:t>
      </w:r>
      <w:r>
        <w:rPr>
          <w:rFonts w:hint="eastAsia" w:ascii="仿宋_GB2312" w:hAnsi="仿宋"/>
          <w:szCs w:val="32"/>
        </w:rPr>
        <w:t>购置公务用车</w:t>
      </w:r>
      <w:r>
        <w:rPr>
          <w:rFonts w:hint="eastAsia" w:ascii="仿宋_GB2312" w:hAnsi="仿宋"/>
          <w:szCs w:val="32"/>
          <w:lang w:eastAsia="zh-CN"/>
        </w:rPr>
        <w:t>购置费。</w:t>
      </w:r>
      <w:r>
        <w:rPr>
          <w:rFonts w:hint="eastAsia" w:ascii="仿宋_GB2312" w:hAnsi="仿宋"/>
          <w:szCs w:val="32"/>
        </w:rPr>
        <w:t>公务用车运行维护费</w:t>
      </w:r>
      <w:r>
        <w:rPr>
          <w:rFonts w:hint="eastAsia" w:ascii="仿宋_GB2312" w:hAnsi="仿宋"/>
          <w:szCs w:val="32"/>
          <w:lang w:eastAsia="zh-CN"/>
        </w:rPr>
        <w:t>预算为</w:t>
      </w:r>
      <w:r>
        <w:rPr>
          <w:rFonts w:hint="eastAsia" w:ascii="仿宋_GB2312" w:hAnsi="仿宋"/>
          <w:szCs w:val="32"/>
          <w:lang w:val="en-US" w:eastAsia="zh-CN"/>
        </w:rPr>
        <w:t>0</w:t>
      </w:r>
      <w:r>
        <w:rPr>
          <w:rFonts w:hint="eastAsia" w:ascii="仿宋_GB2312" w:hAnsi="仿宋"/>
          <w:szCs w:val="32"/>
          <w:lang w:eastAsia="zh-CN"/>
        </w:rPr>
        <w:t>万元，支出决算为</w:t>
      </w:r>
      <w:r>
        <w:rPr>
          <w:rFonts w:hint="eastAsia" w:ascii="仿宋_GB2312" w:hAnsi="仿宋"/>
          <w:szCs w:val="32"/>
          <w:lang w:val="en-US" w:eastAsia="zh-CN"/>
        </w:rPr>
        <w:t>0万元</w:t>
      </w:r>
      <w:r>
        <w:rPr>
          <w:rFonts w:hint="eastAsia" w:ascii="仿宋_GB2312" w:hAnsi="仿宋"/>
          <w:szCs w:val="32"/>
          <w:lang w:eastAsia="zh-CN"/>
        </w:rPr>
        <w:t>，完成预算的</w:t>
      </w:r>
      <w:r>
        <w:rPr>
          <w:rFonts w:hint="eastAsia" w:ascii="仿宋_GB2312" w:hAnsi="仿宋"/>
          <w:szCs w:val="32"/>
          <w:lang w:val="en-US" w:eastAsia="zh-CN"/>
        </w:rPr>
        <w:t>100</w:t>
      </w:r>
      <w:r>
        <w:rPr>
          <w:rFonts w:hint="eastAsia" w:ascii="仿宋_GB2312" w:hAnsi="仿宋"/>
          <w:szCs w:val="32"/>
          <w:lang w:eastAsia="zh-CN"/>
        </w:rPr>
        <w:t>%，</w:t>
      </w:r>
      <w:r>
        <w:rPr>
          <w:rFonts w:hint="eastAsia" w:ascii="仿宋_GB2312" w:hAnsi="仿宋" w:cs="Times New Roman"/>
          <w:szCs w:val="32"/>
          <w:lang w:eastAsia="zh-CN"/>
        </w:rPr>
        <w:t>决算数与预算数相同</w:t>
      </w:r>
      <w:r>
        <w:rPr>
          <w:rFonts w:hint="eastAsia" w:ascii="仿宋_GB2312" w:hAnsi="仿宋"/>
          <w:szCs w:val="32"/>
          <w:lang w:eastAsia="zh-CN"/>
        </w:rPr>
        <w:t>；较上年减少</w:t>
      </w:r>
      <w:r>
        <w:rPr>
          <w:rFonts w:hint="eastAsia" w:ascii="仿宋_GB2312" w:hAnsi="仿宋"/>
          <w:szCs w:val="32"/>
          <w:lang w:val="en-US" w:eastAsia="zh-CN"/>
        </w:rPr>
        <w:t>0</w:t>
      </w:r>
      <w:r>
        <w:rPr>
          <w:rFonts w:hint="eastAsia" w:ascii="仿宋_GB2312" w:hAnsi="仿宋"/>
          <w:szCs w:val="32"/>
          <w:lang w:eastAsia="zh-CN"/>
        </w:rPr>
        <w:t>万元，下降</w:t>
      </w:r>
      <w:r>
        <w:rPr>
          <w:rFonts w:hint="eastAsia" w:ascii="仿宋_GB2312" w:hAnsi="仿宋"/>
          <w:szCs w:val="32"/>
          <w:lang w:val="en-US" w:eastAsia="zh-CN"/>
        </w:rPr>
        <w:t>0%。原因是</w:t>
      </w:r>
      <w:r>
        <w:rPr>
          <w:rFonts w:hint="eastAsia" w:ascii="仿宋_GB2312" w:hAnsi="仿宋"/>
          <w:color w:val="auto"/>
          <w:szCs w:val="32"/>
          <w:u w:val="none"/>
          <w:lang w:val="en-US" w:eastAsia="zh-CN"/>
        </w:rPr>
        <w:t>2023年、2024年</w:t>
      </w:r>
      <w:r>
        <w:rPr>
          <w:rFonts w:hint="eastAsia" w:ascii="仿宋_GB2312" w:hAnsi="仿宋"/>
          <w:color w:val="auto"/>
          <w:szCs w:val="32"/>
          <w:u w:val="none"/>
          <w:lang w:eastAsia="zh-CN"/>
        </w:rPr>
        <w:t>均未安排公务用车运行维护费支出</w:t>
      </w:r>
      <w:r>
        <w:rPr>
          <w:rFonts w:hint="eastAsia" w:ascii="仿宋_GB2312" w:hAnsi="仿宋"/>
          <w:szCs w:val="32"/>
          <w:lang w:eastAsia="zh-CN"/>
        </w:rPr>
        <w:t>。</w:t>
      </w:r>
      <w:r>
        <w:rPr>
          <w:rFonts w:hint="eastAsia" w:ascii="仿宋_GB2312" w:hAnsi="仿宋"/>
          <w:szCs w:val="32"/>
        </w:rPr>
        <w:t>截至</w:t>
      </w:r>
      <w:r>
        <w:rPr>
          <w:rFonts w:hint="eastAsia" w:ascii="仿宋_GB2312" w:hAnsi="仿宋"/>
          <w:szCs w:val="32"/>
          <w:lang w:eastAsia="zh-CN"/>
        </w:rPr>
        <w:t>202</w:t>
      </w:r>
      <w:r>
        <w:rPr>
          <w:rFonts w:hint="eastAsia" w:ascii="仿宋_GB2312" w:hAnsi="仿宋"/>
          <w:szCs w:val="32"/>
          <w:lang w:val="en-US" w:eastAsia="zh-CN"/>
        </w:rPr>
        <w:t>4</w:t>
      </w:r>
      <w:r>
        <w:rPr>
          <w:rFonts w:hint="eastAsia" w:ascii="仿宋_GB2312" w:hAnsi="仿宋"/>
          <w:szCs w:val="32"/>
        </w:rPr>
        <w:t>年12月31日，</w:t>
      </w:r>
      <w:r>
        <w:rPr>
          <w:rFonts w:hint="eastAsia" w:ascii="仿宋_GB2312" w:hAnsi="仿宋"/>
          <w:szCs w:val="32"/>
          <w:lang w:eastAsia="zh-CN"/>
        </w:rPr>
        <w:t>安徽省黄山市文化馆</w:t>
      </w:r>
      <w:r>
        <w:rPr>
          <w:rFonts w:hint="eastAsia" w:ascii="仿宋_GB2312" w:hAnsi="仿宋"/>
          <w:szCs w:val="32"/>
        </w:rPr>
        <w:t>开支财政拨款的公务用车保有量为</w:t>
      </w:r>
      <w:r>
        <w:rPr>
          <w:rFonts w:hint="eastAsia" w:ascii="仿宋_GB2312" w:hAnsi="仿宋"/>
          <w:szCs w:val="32"/>
          <w:lang w:val="en-US" w:eastAsia="zh-CN"/>
        </w:rPr>
        <w:t>0</w:t>
      </w:r>
      <w:r>
        <w:rPr>
          <w:rFonts w:hint="eastAsia" w:ascii="仿宋_GB2312" w:hAnsi="仿宋"/>
          <w:szCs w:val="32"/>
        </w:rPr>
        <w:t>辆。</w:t>
      </w:r>
    </w:p>
    <w:sectPr>
      <w:pgSz w:w="11906" w:h="16838"/>
      <w:pgMar w:top="2155" w:right="1531" w:bottom="1588" w:left="1588" w:header="0" w:footer="1588" w:gutter="0"/>
      <w:pgBorders>
        <w:top w:val="none" w:sz="0" w:space="0"/>
        <w:left w:val="none" w:sz="0" w:space="0"/>
        <w:bottom w:val="none" w:sz="0" w:space="0"/>
        <w:right w:val="none" w:sz="0" w:space="0"/>
      </w:pgBorders>
      <w:cols w:space="720" w:num="1"/>
      <w:docGrid w:type="linesAndChars" w:linePitch="569" w:charSpace="-126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4E92242"/>
    <w:rsid w:val="0F401C4B"/>
    <w:rsid w:val="14E92242"/>
    <w:rsid w:val="16240763"/>
    <w:rsid w:val="1AC412EE"/>
    <w:rsid w:val="778729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spacing w:after="120" w:afterLines="0" w:afterAutospacing="0"/>
      <w:ind w:left="420" w:leftChars="200"/>
    </w:pPr>
  </w:style>
  <w:style w:type="paragraph" w:styleId="4">
    <w:name w:val="Body Text"/>
    <w:basedOn w:val="1"/>
    <w:qFormat/>
    <w:uiPriority w:val="0"/>
    <w:pPr>
      <w:jc w:val="center"/>
    </w:pPr>
    <w:rPr>
      <w:rFonts w:eastAsia="黑体"/>
      <w:sz w:val="36"/>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1283</Words>
  <Characters>1430</Characters>
  <Lines>0</Lines>
  <Paragraphs>0</Paragraphs>
  <TotalTime>6</TotalTime>
  <ScaleCrop>false</ScaleCrop>
  <LinksUpToDate>false</LinksUpToDate>
  <CharactersWithSpaces>1473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2025-09-04T03:43:00Z</dcterms:created>
  <dc:creator>好吧，你赢了</dc:creator>
  <cp:lastModifiedBy>好吧，你赢了</cp:lastModifiedBy>
  <dcterms:modified xsi:type="dcterms:W3CDTF">2025-09-17T07:05:37Z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56ABF3523E044FBE987F772168210B37_11</vt:lpwstr>
  </property>
  <property fmtid="{D5CDD505-2E9C-101B-9397-08002B2CF9AE}" pid="4" name="KSOTemplateDocerSaveRecord">
    <vt:lpwstr>eyJoZGlkIjoiN2RhOTY4YjVhNGM3MTI1MDhhMzEzNTA1ZmRmMzczN2EiLCJ1c2VySWQiOiI3ODcyMzg0MjcifQ==</vt:lpwstr>
  </property>
</Properties>
</file>