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华文中宋" w:hAnsi="华文中宋" w:eastAsia="华文中宋" w:cs="华文中宋"/>
          <w:b/>
          <w:sz w:val="52"/>
          <w:szCs w:val="84"/>
        </w:rPr>
      </w:pPr>
    </w:p>
    <w:p>
      <w:pPr>
        <w:adjustRightInd w:val="0"/>
        <w:snapToGrid w:val="0"/>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黄山市文化和旅游局（本级）</w:t>
      </w:r>
    </w:p>
    <w:p>
      <w:pPr>
        <w:adjustRightInd w:val="0"/>
        <w:snapToGrid w:val="0"/>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2021年度单位决算</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2022年9月</w:t>
      </w:r>
    </w:p>
    <w:p>
      <w:pPr>
        <w:spacing w:line="580" w:lineRule="exact"/>
        <w:jc w:val="center"/>
        <w:rPr>
          <w:rFonts w:ascii="黑体" w:hAnsi="宋体" w:eastAsia="黑体"/>
          <w:bCs/>
          <w:sz w:val="48"/>
          <w:szCs w:val="48"/>
        </w:rPr>
      </w:pPr>
    </w:p>
    <w:p>
      <w:pPr>
        <w:spacing w:line="580" w:lineRule="exact"/>
        <w:jc w:val="center"/>
        <w:rPr>
          <w:rFonts w:ascii="黑体" w:hAnsi="宋体" w:eastAsia="黑体"/>
          <w:bCs/>
          <w:sz w:val="48"/>
          <w:szCs w:val="48"/>
        </w:rPr>
      </w:pPr>
    </w:p>
    <w:p>
      <w:pPr>
        <w:spacing w:line="580" w:lineRule="exact"/>
        <w:jc w:val="center"/>
        <w:rPr>
          <w:rFonts w:ascii="黑体" w:hAnsi="宋体" w:eastAsia="黑体"/>
          <w:bCs/>
          <w:sz w:val="48"/>
          <w:szCs w:val="48"/>
        </w:rPr>
      </w:pPr>
    </w:p>
    <w:p>
      <w:pPr>
        <w:spacing w:line="580" w:lineRule="exact"/>
        <w:jc w:val="center"/>
        <w:rPr>
          <w:rFonts w:ascii="黑体" w:hAnsi="宋体" w:eastAsia="黑体"/>
          <w:bCs/>
          <w:sz w:val="48"/>
          <w:szCs w:val="48"/>
        </w:rPr>
      </w:pPr>
      <w:r>
        <w:rPr>
          <w:rFonts w:hint="eastAsia" w:ascii="黑体" w:hAnsi="宋体" w:eastAsia="黑体"/>
          <w:bCs/>
          <w:sz w:val="48"/>
          <w:szCs w:val="48"/>
        </w:rPr>
        <w:t>目  录</w:t>
      </w:r>
    </w:p>
    <w:p>
      <w:pPr>
        <w:spacing w:line="550" w:lineRule="exact"/>
        <w:outlineLvl w:val="0"/>
        <w:rPr>
          <w:rFonts w:ascii="宋体" w:hAnsi="宋体"/>
          <w:b/>
          <w:sz w:val="36"/>
          <w:szCs w:val="36"/>
        </w:rPr>
      </w:pPr>
      <w:r>
        <w:rPr>
          <w:rFonts w:hint="eastAsia" w:ascii="宋体" w:hAnsi="宋体"/>
          <w:b/>
          <w:sz w:val="36"/>
          <w:szCs w:val="36"/>
        </w:rPr>
        <w:t>第一部分 黄山市文化和旅游局（本级）概况</w:t>
      </w:r>
    </w:p>
    <w:p>
      <w:pPr>
        <w:spacing w:line="550" w:lineRule="exact"/>
        <w:rPr>
          <w:rFonts w:ascii="宋体" w:hAnsi="宋体"/>
          <w:bCs/>
          <w:sz w:val="36"/>
          <w:szCs w:val="36"/>
        </w:rPr>
      </w:pPr>
      <w:r>
        <w:rPr>
          <w:rFonts w:hint="eastAsia" w:ascii="宋体" w:hAnsi="宋体"/>
          <w:bCs/>
          <w:sz w:val="36"/>
          <w:szCs w:val="36"/>
        </w:rPr>
        <w:t>一、主要职责</w:t>
      </w:r>
    </w:p>
    <w:p>
      <w:pPr>
        <w:spacing w:line="550" w:lineRule="exact"/>
        <w:rPr>
          <w:rFonts w:ascii="宋体" w:hAnsi="宋体"/>
          <w:bCs/>
          <w:sz w:val="36"/>
          <w:szCs w:val="36"/>
        </w:rPr>
      </w:pPr>
      <w:r>
        <w:rPr>
          <w:rFonts w:hint="eastAsia" w:ascii="宋体" w:hAnsi="宋体"/>
          <w:bCs/>
          <w:sz w:val="36"/>
          <w:szCs w:val="36"/>
        </w:rPr>
        <w:t>二、单位决算构成</w:t>
      </w:r>
    </w:p>
    <w:p>
      <w:pPr>
        <w:spacing w:line="550" w:lineRule="exact"/>
        <w:outlineLvl w:val="0"/>
        <w:rPr>
          <w:rFonts w:ascii="宋体" w:hAnsi="宋体"/>
          <w:b/>
          <w:sz w:val="36"/>
          <w:szCs w:val="36"/>
        </w:rPr>
      </w:pPr>
      <w:r>
        <w:rPr>
          <w:rFonts w:hint="eastAsia" w:ascii="宋体" w:hAnsi="宋体"/>
          <w:b/>
          <w:sz w:val="36"/>
          <w:szCs w:val="36"/>
        </w:rPr>
        <w:t>第二部分 黄山市文化和旅游局（本级）2021年度单位决算表</w:t>
      </w:r>
    </w:p>
    <w:p>
      <w:pPr>
        <w:spacing w:line="550" w:lineRule="exact"/>
        <w:rPr>
          <w:rFonts w:ascii="宋体" w:hAnsi="宋体"/>
          <w:bCs/>
          <w:sz w:val="36"/>
          <w:szCs w:val="36"/>
        </w:rPr>
      </w:pPr>
      <w:r>
        <w:rPr>
          <w:rFonts w:hint="eastAsia" w:ascii="宋体" w:hAnsi="宋体"/>
          <w:bCs/>
          <w:sz w:val="36"/>
          <w:szCs w:val="36"/>
        </w:rPr>
        <w:t>一、收入支出决算总表</w:t>
      </w:r>
    </w:p>
    <w:p>
      <w:pPr>
        <w:spacing w:line="550" w:lineRule="exact"/>
        <w:rPr>
          <w:rFonts w:ascii="宋体" w:hAnsi="宋体"/>
          <w:bCs/>
          <w:sz w:val="36"/>
          <w:szCs w:val="36"/>
        </w:rPr>
      </w:pPr>
      <w:r>
        <w:rPr>
          <w:rFonts w:hint="eastAsia" w:ascii="宋体" w:hAnsi="宋体"/>
          <w:bCs/>
          <w:sz w:val="36"/>
          <w:szCs w:val="36"/>
        </w:rPr>
        <w:t>二、收入决算表</w:t>
      </w:r>
    </w:p>
    <w:p>
      <w:pPr>
        <w:spacing w:line="550" w:lineRule="exact"/>
        <w:rPr>
          <w:rFonts w:ascii="宋体" w:hAnsi="宋体"/>
          <w:bCs/>
          <w:sz w:val="36"/>
          <w:szCs w:val="36"/>
        </w:rPr>
      </w:pPr>
      <w:r>
        <w:rPr>
          <w:rFonts w:hint="eastAsia" w:ascii="宋体" w:hAnsi="宋体"/>
          <w:bCs/>
          <w:sz w:val="36"/>
          <w:szCs w:val="36"/>
        </w:rPr>
        <w:t>三、支出决算表</w:t>
      </w:r>
    </w:p>
    <w:p>
      <w:pPr>
        <w:spacing w:line="550" w:lineRule="exact"/>
        <w:rPr>
          <w:rFonts w:ascii="宋体" w:hAnsi="宋体"/>
          <w:bCs/>
          <w:sz w:val="36"/>
          <w:szCs w:val="36"/>
        </w:rPr>
      </w:pPr>
      <w:r>
        <w:rPr>
          <w:rFonts w:hint="eastAsia" w:ascii="宋体" w:hAnsi="宋体"/>
          <w:bCs/>
          <w:sz w:val="36"/>
          <w:szCs w:val="36"/>
        </w:rPr>
        <w:t>四、财政拨款收入支出决算总表</w:t>
      </w:r>
    </w:p>
    <w:p>
      <w:pPr>
        <w:spacing w:line="550" w:lineRule="exact"/>
        <w:rPr>
          <w:rFonts w:ascii="宋体" w:hAnsi="宋体"/>
          <w:bCs/>
          <w:sz w:val="36"/>
          <w:szCs w:val="36"/>
        </w:rPr>
      </w:pPr>
      <w:r>
        <w:rPr>
          <w:rFonts w:hint="eastAsia" w:ascii="宋体" w:hAnsi="宋体"/>
          <w:bCs/>
          <w:sz w:val="36"/>
          <w:szCs w:val="36"/>
        </w:rPr>
        <w:t>五、一般公共预算财政拨款支出决算表</w:t>
      </w:r>
    </w:p>
    <w:p>
      <w:pPr>
        <w:spacing w:line="550" w:lineRule="exact"/>
        <w:rPr>
          <w:rFonts w:ascii="宋体" w:hAnsi="宋体"/>
          <w:bCs/>
          <w:sz w:val="36"/>
          <w:szCs w:val="36"/>
        </w:rPr>
      </w:pPr>
      <w:r>
        <w:rPr>
          <w:rFonts w:hint="eastAsia" w:ascii="宋体" w:hAnsi="宋体"/>
          <w:bCs/>
          <w:sz w:val="36"/>
          <w:szCs w:val="36"/>
        </w:rPr>
        <w:t>六、一般公共预算财政拨款基本支出决算表</w:t>
      </w:r>
    </w:p>
    <w:p>
      <w:pPr>
        <w:spacing w:line="550" w:lineRule="exact"/>
        <w:rPr>
          <w:rFonts w:ascii="宋体" w:hAnsi="宋体"/>
          <w:bCs/>
          <w:sz w:val="36"/>
          <w:szCs w:val="36"/>
        </w:rPr>
      </w:pPr>
      <w:r>
        <w:rPr>
          <w:rFonts w:hint="eastAsia" w:ascii="宋体" w:hAnsi="宋体"/>
          <w:bCs/>
          <w:sz w:val="36"/>
          <w:szCs w:val="36"/>
        </w:rPr>
        <w:t>七、政府性基金预算财政拨款收入支出决算表</w:t>
      </w:r>
    </w:p>
    <w:p>
      <w:pPr>
        <w:spacing w:line="550" w:lineRule="exact"/>
        <w:rPr>
          <w:rFonts w:ascii="宋体" w:hAnsi="宋体"/>
          <w:bCs/>
          <w:sz w:val="36"/>
          <w:szCs w:val="36"/>
        </w:rPr>
      </w:pPr>
      <w:r>
        <w:rPr>
          <w:rFonts w:hint="eastAsia" w:ascii="宋体" w:hAnsi="宋体"/>
          <w:bCs/>
          <w:sz w:val="36"/>
          <w:szCs w:val="36"/>
        </w:rPr>
        <w:t>八、国有资本经营预算财政拨款支出决算表</w:t>
      </w:r>
    </w:p>
    <w:p>
      <w:pPr>
        <w:spacing w:line="550" w:lineRule="exact"/>
        <w:outlineLvl w:val="0"/>
        <w:rPr>
          <w:rFonts w:ascii="宋体" w:hAnsi="宋体"/>
          <w:b/>
          <w:sz w:val="36"/>
          <w:szCs w:val="36"/>
        </w:rPr>
      </w:pPr>
      <w:r>
        <w:rPr>
          <w:rFonts w:hint="eastAsia" w:ascii="宋体" w:hAnsi="宋体"/>
          <w:b/>
          <w:sz w:val="36"/>
          <w:szCs w:val="36"/>
        </w:rPr>
        <w:t>第三部分 黄山市文化和旅游局（本级）2021年度单位决算情况说明</w:t>
      </w:r>
    </w:p>
    <w:p>
      <w:pPr>
        <w:spacing w:line="550" w:lineRule="exact"/>
        <w:rPr>
          <w:rFonts w:ascii="宋体" w:hAnsi="宋体"/>
          <w:bCs/>
          <w:sz w:val="36"/>
          <w:szCs w:val="36"/>
        </w:rPr>
      </w:pPr>
      <w:r>
        <w:rPr>
          <w:rFonts w:hint="eastAsia" w:ascii="宋体" w:hAnsi="宋体"/>
          <w:bCs/>
          <w:sz w:val="36"/>
          <w:szCs w:val="36"/>
        </w:rPr>
        <w:t>一、收入支出决算总体情况说明</w:t>
      </w:r>
    </w:p>
    <w:p>
      <w:pPr>
        <w:spacing w:line="550" w:lineRule="exact"/>
        <w:rPr>
          <w:rFonts w:ascii="宋体" w:hAnsi="宋体"/>
          <w:bCs/>
          <w:sz w:val="36"/>
          <w:szCs w:val="36"/>
        </w:rPr>
      </w:pPr>
      <w:r>
        <w:rPr>
          <w:rFonts w:hint="eastAsia" w:ascii="宋体" w:hAnsi="宋体"/>
          <w:bCs/>
          <w:sz w:val="36"/>
          <w:szCs w:val="36"/>
        </w:rPr>
        <w:t>二、收入决算情况说明</w:t>
      </w:r>
    </w:p>
    <w:p>
      <w:pPr>
        <w:spacing w:line="550" w:lineRule="exact"/>
        <w:rPr>
          <w:rFonts w:ascii="宋体" w:hAnsi="宋体"/>
          <w:bCs/>
          <w:sz w:val="36"/>
          <w:szCs w:val="36"/>
        </w:rPr>
      </w:pPr>
      <w:r>
        <w:rPr>
          <w:rFonts w:hint="eastAsia" w:ascii="宋体" w:hAnsi="宋体"/>
          <w:bCs/>
          <w:sz w:val="36"/>
          <w:szCs w:val="36"/>
        </w:rPr>
        <w:t>三、支出决算情况说明</w:t>
      </w:r>
    </w:p>
    <w:p>
      <w:pPr>
        <w:spacing w:line="550" w:lineRule="exact"/>
        <w:rPr>
          <w:rFonts w:ascii="宋体" w:hAnsi="宋体"/>
          <w:bCs/>
          <w:sz w:val="36"/>
          <w:szCs w:val="36"/>
        </w:rPr>
      </w:pPr>
      <w:r>
        <w:rPr>
          <w:rFonts w:hint="eastAsia" w:ascii="宋体" w:hAnsi="宋体"/>
          <w:bCs/>
          <w:sz w:val="36"/>
          <w:szCs w:val="36"/>
        </w:rPr>
        <w:t>四、财政拨款收入支出决算总体情况说明</w:t>
      </w:r>
    </w:p>
    <w:p>
      <w:pPr>
        <w:spacing w:line="550" w:lineRule="exact"/>
        <w:rPr>
          <w:rFonts w:ascii="宋体" w:hAnsi="宋体"/>
          <w:bCs/>
          <w:sz w:val="36"/>
          <w:szCs w:val="36"/>
        </w:rPr>
      </w:pPr>
      <w:r>
        <w:rPr>
          <w:rFonts w:hint="eastAsia" w:ascii="宋体" w:hAnsi="宋体"/>
          <w:bCs/>
          <w:sz w:val="36"/>
          <w:szCs w:val="36"/>
        </w:rPr>
        <w:t>五、一般公共预算财政拨款支出决算情况说明</w:t>
      </w:r>
    </w:p>
    <w:p>
      <w:pPr>
        <w:spacing w:line="550" w:lineRule="exact"/>
        <w:rPr>
          <w:rFonts w:ascii="宋体" w:hAnsi="宋体"/>
          <w:bCs/>
          <w:sz w:val="36"/>
          <w:szCs w:val="36"/>
        </w:rPr>
      </w:pPr>
      <w:r>
        <w:rPr>
          <w:rFonts w:hint="eastAsia" w:ascii="宋体" w:hAnsi="宋体"/>
          <w:bCs/>
          <w:sz w:val="36"/>
          <w:szCs w:val="36"/>
        </w:rPr>
        <w:t>六、一般公共预算财政拨款基本支出决算情况说明</w:t>
      </w:r>
    </w:p>
    <w:p>
      <w:pPr>
        <w:spacing w:line="550" w:lineRule="exact"/>
        <w:rPr>
          <w:rFonts w:ascii="宋体" w:hAnsi="宋体"/>
          <w:bCs/>
          <w:sz w:val="36"/>
          <w:szCs w:val="36"/>
        </w:rPr>
      </w:pPr>
      <w:r>
        <w:rPr>
          <w:rFonts w:hint="eastAsia" w:ascii="宋体" w:hAnsi="宋体"/>
          <w:bCs/>
          <w:sz w:val="36"/>
          <w:szCs w:val="36"/>
        </w:rPr>
        <w:t>七、政府性基金预算财政拨款收入支出决算情况说明</w:t>
      </w:r>
    </w:p>
    <w:p>
      <w:pPr>
        <w:spacing w:line="550" w:lineRule="exact"/>
        <w:rPr>
          <w:rFonts w:ascii="宋体" w:hAnsi="宋体"/>
          <w:bCs/>
          <w:sz w:val="36"/>
          <w:szCs w:val="36"/>
        </w:rPr>
      </w:pPr>
      <w:r>
        <w:rPr>
          <w:rFonts w:hint="eastAsia" w:ascii="宋体" w:hAnsi="宋体"/>
          <w:bCs/>
          <w:sz w:val="36"/>
          <w:szCs w:val="36"/>
        </w:rPr>
        <w:t>八、国有资本经营预算财政拨款支出决算情况说明</w:t>
      </w:r>
    </w:p>
    <w:p>
      <w:pPr>
        <w:spacing w:line="550" w:lineRule="exact"/>
        <w:rPr>
          <w:rFonts w:ascii="宋体" w:hAnsi="宋体"/>
          <w:bCs/>
          <w:sz w:val="36"/>
          <w:szCs w:val="36"/>
        </w:rPr>
      </w:pPr>
      <w:r>
        <w:rPr>
          <w:rFonts w:hint="eastAsia" w:ascii="宋体" w:hAnsi="宋体"/>
          <w:bCs/>
          <w:sz w:val="36"/>
          <w:szCs w:val="36"/>
        </w:rPr>
        <w:t>九、其他重要事项情况说明</w:t>
      </w:r>
    </w:p>
    <w:p>
      <w:pPr>
        <w:spacing w:line="550" w:lineRule="exact"/>
        <w:rPr>
          <w:rFonts w:ascii="宋体" w:hAnsi="宋体"/>
          <w:b/>
          <w:sz w:val="36"/>
          <w:szCs w:val="36"/>
        </w:rPr>
      </w:pPr>
      <w:r>
        <w:rPr>
          <w:rFonts w:hint="eastAsia" w:ascii="宋体" w:hAnsi="宋体"/>
          <w:b/>
          <w:sz w:val="36"/>
          <w:szCs w:val="36"/>
        </w:rPr>
        <w:t>第四部分  名词解释</w:t>
      </w:r>
    </w:p>
    <w:p>
      <w:pPr>
        <w:spacing w:line="550" w:lineRule="exact"/>
        <w:rPr>
          <w:rFonts w:ascii="宋体" w:hAnsi="宋体"/>
          <w:b/>
          <w:sz w:val="36"/>
          <w:szCs w:val="36"/>
        </w:rPr>
      </w:pPr>
    </w:p>
    <w:p>
      <w:pPr>
        <w:rPr>
          <w:rFonts w:ascii="宋体" w:hAnsi="宋体"/>
          <w:b/>
          <w:sz w:val="36"/>
          <w:szCs w:val="36"/>
        </w:rPr>
      </w:pPr>
    </w:p>
    <w:p>
      <w:pPr>
        <w:adjustRightInd w:val="0"/>
        <w:snapToGrid w:val="0"/>
        <w:spacing w:line="360" w:lineRule="auto"/>
        <w:jc w:val="center"/>
        <w:rPr>
          <w:rFonts w:ascii="黑体" w:hAnsi="黑体" w:eastAsia="黑体"/>
          <w:szCs w:val="32"/>
        </w:rPr>
      </w:pPr>
      <w:r>
        <w:rPr>
          <w:rFonts w:hint="eastAsia" w:ascii="宋体" w:hAnsi="宋体"/>
          <w:b/>
          <w:sz w:val="36"/>
          <w:szCs w:val="36"/>
        </w:rPr>
        <w:br w:type="page"/>
      </w:r>
      <w:r>
        <w:rPr>
          <w:rFonts w:hint="eastAsia" w:ascii="黑体" w:hAnsi="黑体" w:eastAsia="黑体"/>
          <w:szCs w:val="32"/>
        </w:rPr>
        <w:t>第一部分 黄山市文化和旅游局（本级）概况</w:t>
      </w:r>
    </w:p>
    <w:p>
      <w:pPr>
        <w:pStyle w:val="8"/>
        <w:numPr>
          <w:ilvl w:val="0"/>
          <w:numId w:val="1"/>
        </w:numPr>
        <w:ind w:firstLineChars="0"/>
        <w:rPr>
          <w:rFonts w:ascii="黑体" w:hAnsi="黑体" w:eastAsia="黑体"/>
          <w:szCs w:val="32"/>
        </w:rPr>
      </w:pPr>
      <w:r>
        <w:rPr>
          <w:rFonts w:hint="eastAsia" w:ascii="黑体" w:hAnsi="黑体" w:eastAsia="黑体"/>
          <w:szCs w:val="32"/>
        </w:rPr>
        <w:t>主要职责</w:t>
      </w:r>
    </w:p>
    <w:p>
      <w:pPr>
        <w:ind w:firstLine="628" w:firstLineChars="200"/>
        <w:rPr>
          <w:rFonts w:ascii="仿宋_GB2312" w:hAnsi="仿宋"/>
          <w:szCs w:val="32"/>
        </w:rPr>
      </w:pPr>
      <w:r>
        <w:rPr>
          <w:rFonts w:ascii="仿宋_GB2312" w:hAnsi="仿宋"/>
          <w:szCs w:val="32"/>
        </w:rPr>
        <w:t>根据《关于印发黄山市</w:t>
      </w:r>
      <w:r>
        <w:rPr>
          <w:rFonts w:hint="eastAsia" w:ascii="仿宋_GB2312" w:hAnsi="仿宋"/>
          <w:szCs w:val="32"/>
        </w:rPr>
        <w:t>文化和旅游</w:t>
      </w:r>
      <w:r>
        <w:rPr>
          <w:rFonts w:ascii="仿宋_GB2312" w:hAnsi="仿宋"/>
          <w:szCs w:val="32"/>
        </w:rPr>
        <w:t>局主要职责内设机构和人员编制规定的通知》文件规定，黄山市</w:t>
      </w:r>
      <w:r>
        <w:rPr>
          <w:rFonts w:hint="eastAsia" w:ascii="仿宋_GB2312" w:hAnsi="仿宋"/>
          <w:szCs w:val="32"/>
        </w:rPr>
        <w:t>文化和旅游</w:t>
      </w:r>
      <w:r>
        <w:rPr>
          <w:rFonts w:ascii="仿宋_GB2312" w:hAnsi="仿宋"/>
          <w:szCs w:val="32"/>
        </w:rPr>
        <w:t>局主要职责是：</w:t>
      </w:r>
    </w:p>
    <w:p>
      <w:pPr>
        <w:ind w:firstLine="628" w:firstLineChars="200"/>
        <w:rPr>
          <w:rFonts w:ascii="仿宋_GB2312" w:hAnsi="仿宋"/>
          <w:szCs w:val="32"/>
        </w:rPr>
      </w:pPr>
      <w:r>
        <w:rPr>
          <w:rFonts w:hint="eastAsia" w:ascii="仿宋_GB2312" w:hAnsi="仿宋"/>
          <w:szCs w:val="32"/>
        </w:rPr>
        <w:t>1.贯彻落实党的文化工作方针政策，贯彻执行国家、省文化文物和旅游政策措施、法律法规规章，研究拟订有关政策措施，起草有关规范性文件。</w:t>
      </w:r>
    </w:p>
    <w:p>
      <w:pPr>
        <w:ind w:firstLine="628" w:firstLineChars="200"/>
        <w:rPr>
          <w:rFonts w:ascii="仿宋_GB2312" w:hAnsi="仿宋"/>
          <w:szCs w:val="32"/>
        </w:rPr>
      </w:pPr>
      <w:r>
        <w:rPr>
          <w:rFonts w:hint="eastAsia" w:ascii="仿宋_GB2312" w:hAnsi="仿宋"/>
          <w:szCs w:val="32"/>
        </w:rPr>
        <w:t>2.统筹规划文化文物事业、文化产业和旅游业发展，拟订发展规划并组织实施，推进文化和旅游融合发展，推进落实文化和旅游体制机制改革。</w:t>
      </w:r>
    </w:p>
    <w:p>
      <w:pPr>
        <w:ind w:firstLine="628" w:firstLineChars="200"/>
        <w:rPr>
          <w:rFonts w:ascii="仿宋_GB2312" w:hAnsi="仿宋"/>
          <w:szCs w:val="32"/>
        </w:rPr>
      </w:pPr>
      <w:r>
        <w:rPr>
          <w:rFonts w:hint="eastAsia" w:ascii="仿宋_GB2312" w:hAnsi="仿宋"/>
          <w:szCs w:val="32"/>
        </w:rPr>
        <w:t>3.管理全市性重大文化活动，指导重点文化设施建设。组织黄山市旅游整体形象推广，促进文化产业和旅游产业对外合作和国际市场推广，研究和制定旅游市场开发战略并组织实施，指导、推进全域旅游。</w:t>
      </w:r>
    </w:p>
    <w:p>
      <w:pPr>
        <w:ind w:firstLine="628" w:firstLineChars="200"/>
        <w:rPr>
          <w:rFonts w:ascii="仿宋_GB2312" w:hAnsi="仿宋"/>
          <w:szCs w:val="32"/>
        </w:rPr>
      </w:pPr>
      <w:r>
        <w:rPr>
          <w:rFonts w:hint="eastAsia" w:ascii="仿宋_GB2312" w:hAnsi="仿宋"/>
          <w:szCs w:val="32"/>
        </w:rPr>
        <w:t>4.指导、管理文艺事业，指导艺术创作生产，扶持体现社会主义核心价值观、具有导向性代表性示范性的文艺作品，推动各门类艺术、各艺术品种发展。</w:t>
      </w:r>
    </w:p>
    <w:p>
      <w:pPr>
        <w:ind w:firstLine="628" w:firstLineChars="200"/>
        <w:rPr>
          <w:rFonts w:ascii="仿宋_GB2312" w:hAnsi="仿宋"/>
          <w:szCs w:val="32"/>
        </w:rPr>
      </w:pPr>
      <w:r>
        <w:rPr>
          <w:rFonts w:hint="eastAsia" w:ascii="仿宋_GB2312" w:hAnsi="仿宋"/>
          <w:szCs w:val="32"/>
        </w:rPr>
        <w:t>5.负责公共文化事业发展，推进公共文化服务体系建设和旅游公共服务建设，深入实施文化惠民工程，统筹推进基本公共文化服务标准化、均等化。</w:t>
      </w:r>
    </w:p>
    <w:p>
      <w:pPr>
        <w:ind w:firstLine="628" w:firstLineChars="200"/>
        <w:rPr>
          <w:rFonts w:ascii="仿宋_GB2312" w:hAnsi="仿宋"/>
          <w:szCs w:val="32"/>
        </w:rPr>
      </w:pPr>
      <w:r>
        <w:rPr>
          <w:rFonts w:hint="eastAsia" w:ascii="仿宋_GB2312" w:hAnsi="仿宋"/>
          <w:szCs w:val="32"/>
        </w:rPr>
        <w:t>6.指导、推进文化文物和旅游科技创新发展，推进文化文物和旅游行业信息化、标准化建设。</w:t>
      </w:r>
    </w:p>
    <w:p>
      <w:pPr>
        <w:ind w:firstLine="628" w:firstLineChars="200"/>
        <w:rPr>
          <w:rFonts w:ascii="仿宋_GB2312" w:hAnsi="仿宋"/>
          <w:szCs w:val="32"/>
        </w:rPr>
      </w:pPr>
      <w:r>
        <w:rPr>
          <w:rFonts w:hint="eastAsia" w:ascii="仿宋_GB2312" w:hAnsi="仿宋"/>
          <w:szCs w:val="32"/>
        </w:rPr>
        <w:t>7.负责非物质文化遗产保护，推动非物质文化遗产的保护、传承、普及、弘扬和振兴。</w:t>
      </w:r>
    </w:p>
    <w:p>
      <w:pPr>
        <w:ind w:firstLine="628" w:firstLineChars="200"/>
        <w:rPr>
          <w:rFonts w:ascii="仿宋_GB2312" w:hAnsi="仿宋"/>
          <w:szCs w:val="32"/>
        </w:rPr>
      </w:pPr>
      <w:r>
        <w:rPr>
          <w:rFonts w:hint="eastAsia" w:ascii="仿宋_GB2312" w:hAnsi="仿宋"/>
          <w:szCs w:val="32"/>
        </w:rPr>
        <w:t>8.统筹规划文化产业和旅游产业，组织实施文化和旅游资源普查、挖掘、保护和利用工作，促进文化产业和旅游产业发展。</w:t>
      </w:r>
    </w:p>
    <w:p>
      <w:pPr>
        <w:ind w:firstLine="628" w:firstLineChars="200"/>
        <w:rPr>
          <w:rFonts w:ascii="仿宋_GB2312" w:hAnsi="仿宋"/>
          <w:szCs w:val="32"/>
        </w:rPr>
      </w:pPr>
      <w:r>
        <w:rPr>
          <w:rFonts w:hint="eastAsia" w:ascii="仿宋_GB2312" w:hAnsi="仿宋"/>
          <w:szCs w:val="32"/>
        </w:rPr>
        <w:t>9.指导文化和旅游市场发展，对文化和旅游市场经营进行行业监管，推进文化和旅游行</w:t>
      </w:r>
      <w:permStart w:id="0" w:edGrp="everyone"/>
      <w:permEnd w:id="0"/>
      <w:r>
        <w:rPr>
          <w:rFonts w:hint="eastAsia" w:ascii="仿宋_GB2312" w:hAnsi="仿宋"/>
          <w:szCs w:val="32"/>
        </w:rPr>
        <w:t>业信用体系建设，依法规范文化和旅游市场。监测全市文化和旅游经济运行，负责统计和行业信息发布。</w:t>
      </w:r>
    </w:p>
    <w:p>
      <w:pPr>
        <w:ind w:firstLine="628" w:firstLineChars="200"/>
        <w:rPr>
          <w:rFonts w:ascii="仿宋_GB2312" w:hAnsi="仿宋"/>
          <w:szCs w:val="32"/>
        </w:rPr>
      </w:pPr>
      <w:r>
        <w:rPr>
          <w:rFonts w:hint="eastAsia" w:ascii="仿宋_GB2312" w:hAnsi="仿宋"/>
          <w:szCs w:val="32"/>
        </w:rPr>
        <w:t>10.指导全市文化旅游市场综合执法，组织查处全市性、跨区域文化、文物、出版、广播电视、电影、旅游等市场的违法行为，督查督办大案要案，维护市场秩序。</w:t>
      </w:r>
    </w:p>
    <w:p>
      <w:pPr>
        <w:ind w:firstLine="628" w:firstLineChars="200"/>
        <w:rPr>
          <w:rFonts w:ascii="仿宋_GB2312" w:hAnsi="仿宋"/>
          <w:szCs w:val="32"/>
        </w:rPr>
      </w:pPr>
      <w:r>
        <w:rPr>
          <w:rFonts w:hint="eastAsia" w:ascii="仿宋_GB2312" w:hAnsi="仿宋"/>
          <w:szCs w:val="32"/>
        </w:rPr>
        <w:t>11.综合管理文物、博物馆事业，指导文物保护、抢救、考古发掘、鉴定和利用等工作，依法监督管理文物市场。</w:t>
      </w:r>
    </w:p>
    <w:p>
      <w:pPr>
        <w:ind w:firstLine="628" w:firstLineChars="200"/>
        <w:rPr>
          <w:rFonts w:ascii="仿宋_GB2312" w:hAnsi="仿宋"/>
          <w:szCs w:val="32"/>
        </w:rPr>
      </w:pPr>
      <w:r>
        <w:rPr>
          <w:rFonts w:hint="eastAsia" w:ascii="仿宋_GB2312" w:hAnsi="仿宋"/>
          <w:szCs w:val="32"/>
        </w:rPr>
        <w:t>12.指导、管理文化文物和旅游对外及对港澳台交流、合作和宣传、推广工作，组织大型文化文物和旅游对外及对港澳台交流活动，推动中华文化走出去。</w:t>
      </w:r>
    </w:p>
    <w:p>
      <w:pPr>
        <w:ind w:firstLine="628" w:firstLineChars="200"/>
        <w:rPr>
          <w:rFonts w:ascii="仿宋_GB2312" w:hAnsi="仿宋"/>
          <w:szCs w:val="32"/>
        </w:rPr>
      </w:pPr>
      <w:r>
        <w:rPr>
          <w:rFonts w:hint="eastAsia" w:ascii="仿宋_GB2312" w:hAnsi="仿宋"/>
          <w:szCs w:val="32"/>
        </w:rPr>
        <w:t>13.负责对广播电视电影单位的行业监管，指导协调广播电视电影事业、产业发展，会同有关部门对网络视听节目服务机构进行管理。综合管理全市电影放映市场。</w:t>
      </w:r>
    </w:p>
    <w:p>
      <w:pPr>
        <w:ind w:firstLine="628" w:firstLineChars="200"/>
        <w:rPr>
          <w:rFonts w:ascii="仿宋_GB2312" w:hAnsi="仿宋"/>
          <w:szCs w:val="32"/>
        </w:rPr>
      </w:pPr>
      <w:r>
        <w:rPr>
          <w:rFonts w:hint="eastAsia" w:ascii="仿宋_GB2312" w:hAnsi="仿宋"/>
          <w:szCs w:val="32"/>
        </w:rPr>
        <w:t>14.负责对新闻出版单位的行业监管，综合管理全市各类出版物的出版发行工作，监管出版物内容、出版活动和出版物市场经营活动。负责全市印刷业的监督管理。</w:t>
      </w:r>
    </w:p>
    <w:p>
      <w:pPr>
        <w:ind w:firstLine="628" w:firstLineChars="200"/>
        <w:rPr>
          <w:rFonts w:ascii="仿宋_GB2312" w:hAnsi="仿宋"/>
          <w:szCs w:val="32"/>
        </w:rPr>
      </w:pPr>
      <w:r>
        <w:rPr>
          <w:rFonts w:hint="eastAsia" w:ascii="仿宋_GB2312" w:hAnsi="仿宋"/>
          <w:szCs w:val="32"/>
        </w:rPr>
        <w:t>15.拟订全市文化和旅游人才队伍建设规划并组织实施。组织和指导全市文化和旅游教育、培训工作。</w:t>
      </w:r>
    </w:p>
    <w:p>
      <w:pPr>
        <w:ind w:firstLine="628" w:firstLineChars="200"/>
        <w:rPr>
          <w:rFonts w:ascii="黑体" w:hAnsi="黑体" w:eastAsia="黑体"/>
          <w:szCs w:val="32"/>
        </w:rPr>
      </w:pPr>
      <w:r>
        <w:rPr>
          <w:rFonts w:hint="eastAsia" w:ascii="仿宋_GB2312" w:hAnsi="仿宋"/>
          <w:szCs w:val="32"/>
        </w:rPr>
        <w:t>16.完成市委、市政府交办的其他任务。</w:t>
      </w:r>
    </w:p>
    <w:p>
      <w:pPr>
        <w:ind w:firstLine="628" w:firstLineChars="200"/>
        <w:rPr>
          <w:rFonts w:ascii="黑体" w:hAnsi="黑体" w:eastAsia="黑体"/>
          <w:szCs w:val="32"/>
        </w:rPr>
      </w:pPr>
      <w:r>
        <w:rPr>
          <w:rFonts w:hint="eastAsia" w:ascii="黑体" w:hAnsi="黑体" w:eastAsia="黑体"/>
          <w:szCs w:val="32"/>
        </w:rPr>
        <w:t>二、单位决算构成</w:t>
      </w:r>
    </w:p>
    <w:p>
      <w:pPr>
        <w:ind w:firstLine="628" w:firstLineChars="200"/>
        <w:rPr>
          <w:rFonts w:ascii="仿宋_GB2312" w:hAnsi="仿宋"/>
          <w:szCs w:val="32"/>
        </w:rPr>
      </w:pPr>
      <w:r>
        <w:rPr>
          <w:rFonts w:hint="eastAsia" w:ascii="仿宋_GB2312" w:hAnsi="仿宋"/>
          <w:szCs w:val="32"/>
        </w:rPr>
        <w:t>黄山市文化和旅游局（本级）2021年度单位决算仅包括单位本级决算，无其他下属单位决算。</w:t>
      </w:r>
    </w:p>
    <w:tbl>
      <w:tblPr>
        <w:tblStyle w:val="5"/>
        <w:tblW w:w="0" w:type="auto"/>
        <w:tblInd w:w="828" w:type="dxa"/>
        <w:shd w:val="clear" w:color="auto" w:fill="FFFFFF"/>
        <w:tblLayout w:type="fixed"/>
        <w:tblCellMar>
          <w:top w:w="0" w:type="dxa"/>
          <w:left w:w="0" w:type="dxa"/>
          <w:bottom w:w="0" w:type="dxa"/>
          <w:right w:w="0" w:type="dxa"/>
        </w:tblCellMar>
      </w:tblPr>
      <w:tblGrid>
        <w:gridCol w:w="1389"/>
        <w:gridCol w:w="5837"/>
      </w:tblGrid>
      <w:tr>
        <w:tblPrEx>
          <w:shd w:val="clear" w:color="auto" w:fill="FFFFFF"/>
          <w:tblCellMar>
            <w:top w:w="0" w:type="dxa"/>
            <w:left w:w="0" w:type="dxa"/>
            <w:bottom w:w="0" w:type="dxa"/>
            <w:right w:w="0" w:type="dxa"/>
          </w:tblCellMar>
        </w:tblPrEx>
        <w:trPr>
          <w:trHeight w:val="656"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单位名称</w:t>
            </w:r>
          </w:p>
        </w:tc>
      </w:tr>
      <w:tr>
        <w:tblPrEx>
          <w:shd w:val="clear" w:color="auto" w:fill="FFFFFF"/>
          <w:tblCellMar>
            <w:top w:w="0" w:type="dxa"/>
            <w:left w:w="0" w:type="dxa"/>
            <w:bottom w:w="0" w:type="dxa"/>
            <w:right w:w="0" w:type="dxa"/>
          </w:tblCellMar>
        </w:tblPrEx>
        <w:trPr>
          <w:trHeight w:val="565"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sz w:val="24"/>
              </w:rPr>
            </w:pPr>
            <w:r>
              <w:rPr>
                <w:rFonts w:hint="eastAsia" w:ascii="宋体" w:hAnsi="宋体"/>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黄山市文化和旅游局（本级）</w:t>
            </w:r>
          </w:p>
        </w:tc>
      </w:tr>
    </w:tbl>
    <w:p>
      <w:pPr>
        <w:ind w:firstLine="628" w:firstLineChars="200"/>
        <w:outlineLvl w:val="0"/>
        <w:rPr>
          <w:rFonts w:ascii="黑体" w:hAnsi="黑体" w:eastAsia="黑体"/>
          <w:szCs w:val="32"/>
        </w:rPr>
      </w:pPr>
    </w:p>
    <w:p>
      <w:pPr>
        <w:ind w:firstLine="628" w:firstLineChars="200"/>
        <w:outlineLvl w:val="0"/>
        <w:rPr>
          <w:rFonts w:ascii="黑体" w:hAnsi="黑体" w:eastAsia="黑体"/>
          <w:szCs w:val="32"/>
        </w:rPr>
      </w:pPr>
      <w:r>
        <w:rPr>
          <w:rFonts w:hint="eastAsia" w:ascii="黑体" w:hAnsi="黑体" w:eastAsia="黑体"/>
          <w:szCs w:val="32"/>
        </w:rPr>
        <w:t>第二部分 黄山市文化和旅游局（本级）2021年度单位决算表</w:t>
      </w:r>
    </w:p>
    <w:tbl>
      <w:tblPr>
        <w:tblStyle w:val="5"/>
        <w:tblpPr w:leftFromText="180" w:rightFromText="180" w:vertAnchor="text" w:horzAnchor="page" w:tblpX="1364" w:tblpY="77"/>
        <w:tblOverlap w:val="never"/>
        <w:tblW w:w="9292" w:type="dxa"/>
        <w:tblInd w:w="0" w:type="dxa"/>
        <w:tblLayout w:type="fixed"/>
        <w:tblCellMar>
          <w:top w:w="0" w:type="dxa"/>
          <w:left w:w="0" w:type="dxa"/>
          <w:bottom w:w="0" w:type="dxa"/>
          <w:right w:w="0" w:type="dxa"/>
        </w:tblCellMar>
      </w:tblPr>
      <w:tblGrid>
        <w:gridCol w:w="3370"/>
        <w:gridCol w:w="304"/>
        <w:gridCol w:w="121"/>
        <w:gridCol w:w="402"/>
        <w:gridCol w:w="677"/>
        <w:gridCol w:w="2890"/>
        <w:gridCol w:w="393"/>
        <w:gridCol w:w="32"/>
        <w:gridCol w:w="339"/>
        <w:gridCol w:w="764"/>
      </w:tblGrid>
      <w:tr>
        <w:tblPrEx>
          <w:tblCellMar>
            <w:top w:w="0" w:type="dxa"/>
            <w:left w:w="0" w:type="dxa"/>
            <w:bottom w:w="0" w:type="dxa"/>
            <w:right w:w="0" w:type="dxa"/>
          </w:tblCellMar>
        </w:tblPrEx>
        <w:trPr>
          <w:trHeight w:val="384" w:hRule="atLeast"/>
        </w:trPr>
        <w:tc>
          <w:tcPr>
            <w:tcW w:w="9292" w:type="dxa"/>
            <w:gridSpan w:val="10"/>
            <w:tcBorders>
              <w:top w:val="nil"/>
              <w:left w:val="nil"/>
              <w:bottom w:val="nil"/>
              <w:right w:val="nil"/>
            </w:tcBorders>
            <w:tcMar>
              <w:top w:w="12" w:type="dxa"/>
              <w:left w:w="12" w:type="dxa"/>
              <w:right w:w="12" w:type="dxa"/>
            </w:tcMar>
            <w:vAlign w:val="bottom"/>
          </w:tcPr>
          <w:p>
            <w:pPr>
              <w:ind w:firstLine="588" w:firstLineChars="200"/>
              <w:jc w:val="center"/>
              <w:rPr>
                <w:rFonts w:ascii="宋体" w:hAnsi="宋体" w:eastAsia="宋体" w:cs="宋体"/>
                <w:color w:val="000000"/>
                <w:sz w:val="30"/>
                <w:szCs w:val="30"/>
              </w:rPr>
            </w:pPr>
            <w:r>
              <w:rPr>
                <w:rFonts w:hint="eastAsia" w:ascii="宋体" w:hAnsi="宋体" w:eastAsia="宋体" w:cs="宋体"/>
                <w:color w:val="000000"/>
                <w:kern w:val="0"/>
                <w:sz w:val="30"/>
                <w:szCs w:val="30"/>
              </w:rPr>
              <w:t>收入支出决算总表</w:t>
            </w:r>
          </w:p>
        </w:tc>
      </w:tr>
      <w:tr>
        <w:tblPrEx>
          <w:tblCellMar>
            <w:top w:w="0" w:type="dxa"/>
            <w:left w:w="0" w:type="dxa"/>
            <w:bottom w:w="0" w:type="dxa"/>
            <w:right w:w="0" w:type="dxa"/>
          </w:tblCellMar>
        </w:tblPrEx>
        <w:trPr>
          <w:trHeight w:val="264" w:hRule="atLeast"/>
        </w:trPr>
        <w:tc>
          <w:tcPr>
            <w:tcW w:w="3674"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523"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677"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3283"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371"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764"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CellMar>
            <w:top w:w="0" w:type="dxa"/>
            <w:left w:w="0" w:type="dxa"/>
            <w:bottom w:w="0" w:type="dxa"/>
            <w:right w:w="0" w:type="dxa"/>
          </w:tblCellMar>
        </w:tblPrEx>
        <w:trPr>
          <w:trHeight w:val="264" w:hRule="atLeast"/>
        </w:trPr>
        <w:tc>
          <w:tcPr>
            <w:tcW w:w="8157" w:type="dxa"/>
            <w:gridSpan w:val="7"/>
            <w:tcBorders>
              <w:top w:val="nil"/>
              <w:left w:val="nil"/>
              <w:bottom w:val="nil"/>
              <w:right w:val="nil"/>
            </w:tcBorders>
            <w:tcMar>
              <w:top w:w="12" w:type="dxa"/>
              <w:left w:w="12" w:type="dxa"/>
              <w:right w:w="12" w:type="dxa"/>
            </w:tcMar>
            <w:vAlign w:val="bottom"/>
          </w:tcPr>
          <w:p>
            <w:pPr>
              <w:rPr>
                <w:rFonts w:ascii="Arial" w:hAnsi="Arial" w:cs="Arial"/>
                <w:color w:val="000000"/>
                <w:sz w:val="20"/>
              </w:rPr>
            </w:pPr>
            <w:r>
              <w:rPr>
                <w:rFonts w:hint="eastAsia" w:ascii="宋体" w:hAnsi="宋体" w:eastAsia="宋体" w:cs="宋体"/>
                <w:color w:val="000000"/>
                <w:kern w:val="0"/>
                <w:sz w:val="22"/>
                <w:szCs w:val="22"/>
              </w:rPr>
              <w:t>单位：黄山市文化和旅游局（本级）</w:t>
            </w:r>
          </w:p>
        </w:tc>
        <w:tc>
          <w:tcPr>
            <w:tcW w:w="1135" w:type="dxa"/>
            <w:gridSpan w:val="3"/>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trHeight w:val="301" w:hRule="atLeast"/>
        </w:trPr>
        <w:tc>
          <w:tcPr>
            <w:tcW w:w="4874"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4418" w:type="dxa"/>
            <w:gridSpan w:val="5"/>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cs="宋体"/>
                <w:color w:val="000000"/>
                <w:sz w:val="22"/>
                <w:szCs w:val="22"/>
              </w:rPr>
            </w:pP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cs="宋体"/>
                <w:color w:val="000000"/>
                <w:sz w:val="22"/>
                <w:szCs w:val="22"/>
              </w:rPr>
            </w:pP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5,992.97</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3.90</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515.24</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三、国有资本经营预算财政拨款收入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四、上级补助收入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五、事业收入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六、经营收入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七、附属单位上缴收入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七、文化旅游体育与传媒支出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6,941.93</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八、其他收入</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528.29</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138.40</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九、卫生健康支出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35.20</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5.51</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十四、资源勘探工业信息等支出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425.79</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十八、自然资源海洋气象等支出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92.88</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二十一、国有资本经营预算支出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0"/>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二十二、灾害防治及应急管理支出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0"/>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二十三、其他支出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cs="宋体"/>
                <w:b/>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二十四、债务还本支出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二十五、债务付息支出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二十六、抗疫特别国债安排的支出</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510.24</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7,036.50</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8,153.84</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使用非财政拨款结余</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结余分配</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1,521.33</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403.98</w:t>
            </w:r>
          </w:p>
        </w:tc>
      </w:tr>
      <w:tr>
        <w:tblPrEx>
          <w:tblCellMar>
            <w:top w:w="0" w:type="dxa"/>
            <w:left w:w="0" w:type="dxa"/>
            <w:bottom w:w="0" w:type="dxa"/>
            <w:right w:w="0" w:type="dxa"/>
          </w:tblCellMar>
        </w:tblPrEx>
        <w:trPr>
          <w:trHeight w:val="286" w:hRule="atLeast"/>
        </w:trPr>
        <w:tc>
          <w:tcPr>
            <w:tcW w:w="337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107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　</w:t>
            </w:r>
          </w:p>
        </w:tc>
        <w:tc>
          <w:tcPr>
            <w:tcW w:w="289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color w:val="000000"/>
                <w:sz w:val="22"/>
                <w:szCs w:val="22"/>
              </w:rPr>
            </w:pPr>
          </w:p>
        </w:tc>
        <w:tc>
          <w:tcPr>
            <w:tcW w:w="425"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1103" w:type="dxa"/>
            <w:gridSpan w:val="2"/>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35" w:hRule="atLeast"/>
        </w:trPr>
        <w:tc>
          <w:tcPr>
            <w:tcW w:w="3370"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25"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1079"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8,557.83</w:t>
            </w:r>
          </w:p>
        </w:tc>
        <w:tc>
          <w:tcPr>
            <w:tcW w:w="2890"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25"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w:t>
            </w:r>
          </w:p>
        </w:tc>
        <w:tc>
          <w:tcPr>
            <w:tcW w:w="1103" w:type="dxa"/>
            <w:gridSpan w:val="2"/>
            <w:tcBorders>
              <w:top w:val="nil"/>
              <w:left w:val="nil"/>
              <w:bottom w:val="single" w:color="000000" w:sz="8"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ascii="宋体" w:hAnsi="宋体" w:eastAsia="宋体" w:cs="Arial"/>
                <w:color w:val="000000"/>
                <w:sz w:val="22"/>
                <w:szCs w:val="22"/>
              </w:rPr>
            </w:pPr>
            <w:r>
              <w:rPr>
                <w:rFonts w:hint="eastAsia" w:cs="Arial"/>
                <w:color w:val="000000"/>
                <w:sz w:val="22"/>
                <w:szCs w:val="22"/>
              </w:rPr>
              <w:t>8,557.83</w:t>
            </w:r>
          </w:p>
        </w:tc>
      </w:tr>
      <w:tr>
        <w:tblPrEx>
          <w:tblCellMar>
            <w:top w:w="0" w:type="dxa"/>
            <w:left w:w="0" w:type="dxa"/>
            <w:bottom w:w="0" w:type="dxa"/>
            <w:right w:w="0" w:type="dxa"/>
          </w:tblCellMar>
        </w:tblPrEx>
        <w:trPr>
          <w:trHeight w:val="235" w:hRule="atLeast"/>
        </w:trPr>
        <w:tc>
          <w:tcPr>
            <w:tcW w:w="9292" w:type="dxa"/>
            <w:gridSpan w:val="10"/>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注：本表反映单位本年度的总收支和年末结转结余情况；本套报表金额单位转换成万元时，因四舍五入可能存在尾数误差。</w:t>
            </w:r>
          </w:p>
        </w:tc>
      </w:tr>
    </w:tbl>
    <w:p>
      <w:pPr>
        <w:keepNext w:val="0"/>
        <w:keepLines w:val="0"/>
        <w:pageBreakBefore w:val="0"/>
        <w:kinsoku/>
        <w:wordWrap/>
        <w:overflowPunct/>
        <w:topLinePunct w:val="0"/>
        <w:autoSpaceDE/>
        <w:autoSpaceDN/>
        <w:bidi w:val="0"/>
        <w:adjustRightInd/>
        <w:snapToGrid/>
        <w:spacing w:line="400" w:lineRule="exact"/>
        <w:ind w:firstLine="628" w:firstLineChars="200"/>
        <w:jc w:val="center"/>
        <w:rPr>
          <w:rFonts w:ascii="黑体" w:hAnsi="黑体" w:eastAsia="黑体"/>
          <w:szCs w:val="32"/>
        </w:rPr>
      </w:pPr>
      <w:r>
        <w:rPr>
          <w:rFonts w:hint="eastAsia" w:ascii="黑体" w:hAnsi="黑体" w:eastAsia="黑体"/>
          <w:szCs w:val="32"/>
        </w:rPr>
        <w:t>收入决算表</w:t>
      </w:r>
    </w:p>
    <w:tbl>
      <w:tblPr>
        <w:tblStyle w:val="5"/>
        <w:tblW w:w="11669" w:type="dxa"/>
        <w:tblInd w:w="-275" w:type="dxa"/>
        <w:tblLayout w:type="fixed"/>
        <w:tblCellMar>
          <w:top w:w="0" w:type="dxa"/>
          <w:left w:w="0" w:type="dxa"/>
          <w:bottom w:w="0" w:type="dxa"/>
          <w:right w:w="0" w:type="dxa"/>
        </w:tblCellMar>
      </w:tblPr>
      <w:tblGrid>
        <w:gridCol w:w="450"/>
        <w:gridCol w:w="431"/>
        <w:gridCol w:w="264"/>
        <w:gridCol w:w="240"/>
        <w:gridCol w:w="1305"/>
        <w:gridCol w:w="810"/>
        <w:gridCol w:w="945"/>
        <w:gridCol w:w="825"/>
        <w:gridCol w:w="548"/>
        <w:gridCol w:w="292"/>
        <w:gridCol w:w="595"/>
        <w:gridCol w:w="818"/>
        <w:gridCol w:w="997"/>
        <w:gridCol w:w="885"/>
        <w:gridCol w:w="2264"/>
      </w:tblGrid>
      <w:tr>
        <w:tblPrEx>
          <w:tblCellMar>
            <w:top w:w="0" w:type="dxa"/>
            <w:left w:w="0" w:type="dxa"/>
            <w:bottom w:w="0" w:type="dxa"/>
            <w:right w:w="0" w:type="dxa"/>
          </w:tblCellMar>
        </w:tblPrEx>
        <w:trPr>
          <w:gridAfter w:val="1"/>
          <w:wAfter w:w="2264" w:type="dxa"/>
          <w:trHeight w:val="264" w:hRule="atLeast"/>
        </w:trPr>
        <w:tc>
          <w:tcPr>
            <w:tcW w:w="881" w:type="dxa"/>
            <w:gridSpan w:val="2"/>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bottom"/>
              <w:rPr>
                <w:rFonts w:ascii="仿宋_GB2312" w:hAnsi="仿宋_GB2312" w:cs="仿宋_GB2312"/>
                <w:bCs/>
                <w:color w:val="0000FF"/>
                <w:sz w:val="21"/>
                <w:szCs w:val="21"/>
              </w:rPr>
            </w:pPr>
          </w:p>
        </w:tc>
        <w:tc>
          <w:tcPr>
            <w:tcW w:w="264"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240"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130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810"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94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82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840"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59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818"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997"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p>
        </w:tc>
        <w:tc>
          <w:tcPr>
            <w:tcW w:w="885" w:type="dxa"/>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2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CellMar>
            <w:top w:w="0" w:type="dxa"/>
            <w:left w:w="0" w:type="dxa"/>
            <w:bottom w:w="0" w:type="dxa"/>
            <w:right w:w="0" w:type="dxa"/>
          </w:tblCellMar>
        </w:tblPrEx>
        <w:trPr>
          <w:gridAfter w:val="1"/>
          <w:wAfter w:w="2264" w:type="dxa"/>
          <w:trHeight w:val="264" w:hRule="atLeast"/>
        </w:trPr>
        <w:tc>
          <w:tcPr>
            <w:tcW w:w="8520" w:type="dxa"/>
            <w:gridSpan w:val="13"/>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20" w:lineRule="exact"/>
              <w:rPr>
                <w:rFonts w:ascii="Arial" w:hAnsi="Arial" w:cs="Arial"/>
                <w:color w:val="000000"/>
                <w:sz w:val="20"/>
              </w:rPr>
            </w:pPr>
            <w:r>
              <w:rPr>
                <w:rFonts w:hint="eastAsia" w:ascii="宋体" w:hAnsi="宋体" w:eastAsia="宋体" w:cs="宋体"/>
                <w:color w:val="000000"/>
                <w:kern w:val="0"/>
                <w:sz w:val="20"/>
              </w:rPr>
              <w:t>单位</w:t>
            </w:r>
            <w:r>
              <w:rPr>
                <w:rFonts w:hint="eastAsia" w:ascii="宋体" w:hAnsi="宋体" w:eastAsia="宋体" w:cs="宋体"/>
                <w:color w:val="000000"/>
                <w:kern w:val="0"/>
                <w:sz w:val="22"/>
                <w:szCs w:val="22"/>
              </w:rPr>
              <w:t>：</w:t>
            </w:r>
            <w:r>
              <w:rPr>
                <w:rFonts w:hint="eastAsia" w:ascii="宋体" w:hAnsi="宋体" w:eastAsia="宋体" w:cs="宋体"/>
                <w:color w:val="000000"/>
                <w:kern w:val="0"/>
                <w:sz w:val="20"/>
              </w:rPr>
              <w:t>黄山市文化和旅游局（本级）</w:t>
            </w:r>
          </w:p>
        </w:tc>
        <w:tc>
          <w:tcPr>
            <w:tcW w:w="885" w:type="dxa"/>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2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gridAfter w:val="1"/>
          <w:wAfter w:w="2264" w:type="dxa"/>
          <w:trHeight w:val="331" w:hRule="atLeast"/>
        </w:trPr>
        <w:tc>
          <w:tcPr>
            <w:tcW w:w="1385"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功能分类科目编码</w:t>
            </w:r>
          </w:p>
        </w:tc>
        <w:tc>
          <w:tcPr>
            <w:tcW w:w="13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科目名称</w:t>
            </w:r>
          </w:p>
        </w:tc>
        <w:tc>
          <w:tcPr>
            <w:tcW w:w="81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本年收入合计</w:t>
            </w:r>
          </w:p>
        </w:tc>
        <w:tc>
          <w:tcPr>
            <w:tcW w:w="94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财政拨款收入</w:t>
            </w:r>
          </w:p>
        </w:tc>
        <w:tc>
          <w:tcPr>
            <w:tcW w:w="82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上级补助收入</w:t>
            </w:r>
          </w:p>
        </w:tc>
        <w:tc>
          <w:tcPr>
            <w:tcW w:w="1435"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事业收入</w:t>
            </w:r>
          </w:p>
        </w:tc>
        <w:tc>
          <w:tcPr>
            <w:tcW w:w="818"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经营收入</w:t>
            </w:r>
          </w:p>
        </w:tc>
        <w:tc>
          <w:tcPr>
            <w:tcW w:w="997"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附属单位上缴收入</w:t>
            </w:r>
          </w:p>
        </w:tc>
        <w:tc>
          <w:tcPr>
            <w:tcW w:w="88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其他收入</w:t>
            </w:r>
          </w:p>
        </w:tc>
      </w:tr>
      <w:tr>
        <w:tblPrEx>
          <w:tblCellMar>
            <w:top w:w="0" w:type="dxa"/>
            <w:left w:w="0" w:type="dxa"/>
            <w:bottom w:w="0" w:type="dxa"/>
            <w:right w:w="0" w:type="dxa"/>
          </w:tblCellMar>
        </w:tblPrEx>
        <w:trPr>
          <w:gridAfter w:val="1"/>
          <w:wAfter w:w="2264" w:type="dxa"/>
          <w:trHeight w:val="569" w:hRule="atLeast"/>
        </w:trPr>
        <w:tc>
          <w:tcPr>
            <w:tcW w:w="1385"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13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1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4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548"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小计</w:t>
            </w:r>
          </w:p>
        </w:tc>
        <w:tc>
          <w:tcPr>
            <w:tcW w:w="887"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其中：教育收费</w:t>
            </w: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9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ind w:right="1337" w:rightChars="426"/>
              <w:jc w:val="center"/>
              <w:rPr>
                <w:rFonts w:ascii="宋体" w:hAnsi="宋体" w:eastAsia="宋体" w:cs="宋体"/>
                <w:color w:val="000000"/>
                <w:sz w:val="20"/>
              </w:rPr>
            </w:pPr>
          </w:p>
        </w:tc>
        <w:tc>
          <w:tcPr>
            <w:tcW w:w="88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r>
      <w:tr>
        <w:tblPrEx>
          <w:tblCellMar>
            <w:top w:w="0" w:type="dxa"/>
            <w:left w:w="0" w:type="dxa"/>
            <w:bottom w:w="0" w:type="dxa"/>
            <w:right w:w="0" w:type="dxa"/>
          </w:tblCellMar>
        </w:tblPrEx>
        <w:trPr>
          <w:gridAfter w:val="1"/>
          <w:wAfter w:w="2264" w:type="dxa"/>
          <w:trHeight w:val="569" w:hRule="atLeast"/>
        </w:trPr>
        <w:tc>
          <w:tcPr>
            <w:tcW w:w="1385"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13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1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4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548"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9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ind w:right="1337" w:rightChars="426"/>
              <w:jc w:val="center"/>
              <w:rPr>
                <w:rFonts w:ascii="宋体" w:hAnsi="宋体" w:eastAsia="宋体" w:cs="宋体"/>
                <w:color w:val="000000"/>
                <w:sz w:val="20"/>
              </w:rPr>
            </w:pPr>
          </w:p>
        </w:tc>
        <w:tc>
          <w:tcPr>
            <w:tcW w:w="88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r>
      <w:tr>
        <w:tblPrEx>
          <w:tblCellMar>
            <w:top w:w="0" w:type="dxa"/>
            <w:left w:w="0" w:type="dxa"/>
            <w:bottom w:w="0" w:type="dxa"/>
            <w:right w:w="0" w:type="dxa"/>
          </w:tblCellMar>
        </w:tblPrEx>
        <w:trPr>
          <w:gridAfter w:val="1"/>
          <w:wAfter w:w="2264" w:type="dxa"/>
          <w:trHeight w:val="312" w:hRule="atLeast"/>
        </w:trPr>
        <w:tc>
          <w:tcPr>
            <w:tcW w:w="1385"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13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1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4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548"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99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ind w:right="1337" w:rightChars="426"/>
              <w:jc w:val="center"/>
              <w:rPr>
                <w:rFonts w:ascii="宋体" w:hAnsi="宋体" w:eastAsia="宋体" w:cs="宋体"/>
                <w:color w:val="000000"/>
                <w:sz w:val="20"/>
              </w:rPr>
            </w:pPr>
          </w:p>
        </w:tc>
        <w:tc>
          <w:tcPr>
            <w:tcW w:w="88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r>
      <w:tr>
        <w:tblPrEx>
          <w:tblCellMar>
            <w:top w:w="0" w:type="dxa"/>
            <w:left w:w="0" w:type="dxa"/>
            <w:bottom w:w="0" w:type="dxa"/>
            <w:right w:w="0" w:type="dxa"/>
          </w:tblCellMar>
        </w:tblPrEx>
        <w:trPr>
          <w:gridAfter w:val="1"/>
          <w:wAfter w:w="2264" w:type="dxa"/>
          <w:trHeight w:val="192" w:hRule="atLeast"/>
        </w:trPr>
        <w:tc>
          <w:tcPr>
            <w:tcW w:w="45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类</w:t>
            </w:r>
          </w:p>
        </w:tc>
        <w:tc>
          <w:tcPr>
            <w:tcW w:w="431"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款</w:t>
            </w:r>
          </w:p>
        </w:tc>
        <w:tc>
          <w:tcPr>
            <w:tcW w:w="504"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项</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栏次</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w:t>
            </w:r>
          </w:p>
        </w:tc>
      </w:tr>
      <w:tr>
        <w:tblPrEx>
          <w:tblCellMar>
            <w:top w:w="0" w:type="dxa"/>
            <w:left w:w="0" w:type="dxa"/>
            <w:bottom w:w="0" w:type="dxa"/>
            <w:right w:w="0" w:type="dxa"/>
          </w:tblCellMar>
        </w:tblPrEx>
        <w:trPr>
          <w:gridAfter w:val="1"/>
          <w:wAfter w:w="2264" w:type="dxa"/>
          <w:trHeight w:val="235" w:hRule="atLeast"/>
        </w:trPr>
        <w:tc>
          <w:tcPr>
            <w:tcW w:w="45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431"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50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0"/>
              </w:rPr>
            </w:pP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合计</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7,036.50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6,508.21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0"/>
              </w:rPr>
            </w:pPr>
            <w:r>
              <w:rPr>
                <w:rFonts w:hint="eastAsia" w:cs="Arial"/>
                <w:b/>
                <w:bCs/>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528.29</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一般公共服务支出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20136</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其他共产党事务支出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2013699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文化旅游体育与传媒支出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5,824.58</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5,722.08</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102.50</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文化和旅游</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5,661.08</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5,661.08</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行政运行</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2070102</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一般行政管理事务</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345.71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345.71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2070107</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艺术表演团体</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9.00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2070111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文化创作与保护</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1,091.50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1,091.50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2070113</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旅游宣传</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380.54</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380.54</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其他文化和旅游支出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3,201.96</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3,201.96</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20702</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文物</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6.00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2070204</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文物保护</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6.00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20707</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国家电影事业发展专项资金安排的支出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2070799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其他国家电影事业发展专项资金支出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其他文化旅游体育与传媒支出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152.50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102.50</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2079999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其他文化旅游体育与传媒支出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152.50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50.00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102.50</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社会保障和就业支出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138.40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138.40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行政事业单位养老支出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89.94</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89.94</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w:t>
            </w:r>
            <w:r>
              <w:rPr>
                <w:rFonts w:hint="eastAsia" w:cs="Arial"/>
                <w:color w:val="000000"/>
                <w:sz w:val="22"/>
                <w:szCs w:val="22"/>
                <w:lang w:val="en-US" w:eastAsia="zh-CN"/>
              </w:rPr>
              <w:t xml:space="preserve"> </w:t>
            </w:r>
            <w:r>
              <w:rPr>
                <w:rFonts w:hint="eastAsia" w:cs="Arial"/>
                <w:color w:val="000000"/>
                <w:sz w:val="22"/>
                <w:szCs w:val="22"/>
              </w:rPr>
              <w:t>行政单位离退休</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34.40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34.40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2080505</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49.36</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49.36</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2080506</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机关事业单位职业年金缴费支出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6.17</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6.17</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20808</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抚恤</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2080801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死亡抚恤</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卫生健康支出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21011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行政事业单位医疗</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2101101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行政单位医疗</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农林水支出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21305</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扶贫</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2130599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其他扶贫支出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216</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商业服务业等支出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21699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其他商业服务业等支出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2169999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其他商业服务业等支出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425.79</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住房保障支出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住房改革支出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90"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2210201</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住房公积金</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56.87</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56.87</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235"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2210202</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提租补贴</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36.01</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36.01</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235"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234</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抗疫特别国债安排的支出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235"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23402</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抗疫相关支出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gridAfter w:val="1"/>
          <w:wAfter w:w="2264" w:type="dxa"/>
          <w:trHeight w:val="235" w:hRule="atLeast"/>
        </w:trPr>
        <w:tc>
          <w:tcPr>
            <w:tcW w:w="1385"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2340299</w:t>
            </w:r>
          </w:p>
        </w:tc>
        <w:tc>
          <w:tcPr>
            <w:tcW w:w="13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其他抗疫相关支出</w:t>
            </w:r>
          </w:p>
        </w:tc>
        <w:tc>
          <w:tcPr>
            <w:tcW w:w="81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94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510.24</w:t>
            </w:r>
          </w:p>
        </w:tc>
        <w:tc>
          <w:tcPr>
            <w:tcW w:w="8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54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0"/>
              </w:rPr>
            </w:pPr>
            <w:r>
              <w:rPr>
                <w:rFonts w:hint="eastAsia" w:cs="Arial"/>
                <w:color w:val="000000"/>
                <w:sz w:val="20"/>
              </w:rPr>
              <w:t>　</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99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88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388" w:hRule="atLeast"/>
        </w:trPr>
        <w:tc>
          <w:tcPr>
            <w:tcW w:w="11669" w:type="dxa"/>
            <w:gridSpan w:val="15"/>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注：本表反映单位本年度取得的各项收入情况。</w:t>
            </w:r>
          </w:p>
        </w:tc>
      </w:tr>
    </w:tbl>
    <w:p>
      <w:pPr>
        <w:keepNext w:val="0"/>
        <w:keepLines w:val="0"/>
        <w:pageBreakBefore w:val="0"/>
        <w:kinsoku/>
        <w:wordWrap/>
        <w:overflowPunct/>
        <w:topLinePunct w:val="0"/>
        <w:autoSpaceDE/>
        <w:autoSpaceDN/>
        <w:bidi w:val="0"/>
        <w:adjustRightInd/>
        <w:snapToGrid/>
        <w:spacing w:line="400" w:lineRule="exact"/>
        <w:ind w:firstLine="628" w:firstLineChars="200"/>
        <w:rPr>
          <w:rFonts w:ascii="黑体" w:hAnsi="黑体" w:eastAsia="黑体"/>
          <w:szCs w:val="32"/>
        </w:rPr>
      </w:pPr>
      <w:r>
        <w:rPr>
          <w:rFonts w:hint="eastAsia" w:ascii="黑体" w:hAnsi="黑体" w:eastAsia="黑体"/>
          <w:szCs w:val="32"/>
        </w:rPr>
        <w:t xml:space="preserve">              </w:t>
      </w:r>
    </w:p>
    <w:p>
      <w:pPr>
        <w:keepNext w:val="0"/>
        <w:keepLines w:val="0"/>
        <w:pageBreakBefore w:val="0"/>
        <w:kinsoku/>
        <w:wordWrap/>
        <w:overflowPunct/>
        <w:topLinePunct w:val="0"/>
        <w:autoSpaceDE/>
        <w:autoSpaceDN/>
        <w:bidi w:val="0"/>
        <w:adjustRightInd/>
        <w:snapToGrid/>
        <w:spacing w:line="400" w:lineRule="exact"/>
        <w:ind w:firstLine="628" w:firstLineChars="200"/>
        <w:jc w:val="center"/>
        <w:rPr>
          <w:rFonts w:ascii="黑体" w:hAnsi="黑体" w:eastAsia="黑体"/>
          <w:szCs w:val="32"/>
        </w:rPr>
      </w:pPr>
      <w:r>
        <w:rPr>
          <w:rFonts w:hint="eastAsia" w:ascii="黑体" w:hAnsi="黑体" w:eastAsia="黑体"/>
          <w:szCs w:val="32"/>
        </w:rPr>
        <w:t>支出决算表</w:t>
      </w:r>
    </w:p>
    <w:tbl>
      <w:tblPr>
        <w:tblStyle w:val="5"/>
        <w:tblW w:w="9157" w:type="dxa"/>
        <w:tblInd w:w="0" w:type="dxa"/>
        <w:tblLayout w:type="fixed"/>
        <w:tblCellMar>
          <w:top w:w="0" w:type="dxa"/>
          <w:left w:w="0" w:type="dxa"/>
          <w:bottom w:w="0" w:type="dxa"/>
          <w:right w:w="0" w:type="dxa"/>
        </w:tblCellMar>
      </w:tblPr>
      <w:tblGrid>
        <w:gridCol w:w="410"/>
        <w:gridCol w:w="263"/>
        <w:gridCol w:w="195"/>
        <w:gridCol w:w="99"/>
        <w:gridCol w:w="294"/>
        <w:gridCol w:w="1733"/>
        <w:gridCol w:w="1395"/>
        <w:gridCol w:w="1125"/>
        <w:gridCol w:w="1215"/>
        <w:gridCol w:w="675"/>
        <w:gridCol w:w="554"/>
        <w:gridCol w:w="1199"/>
      </w:tblGrid>
      <w:tr>
        <w:tblPrEx>
          <w:tblCellMar>
            <w:top w:w="0" w:type="dxa"/>
            <w:left w:w="0" w:type="dxa"/>
            <w:bottom w:w="0" w:type="dxa"/>
            <w:right w:w="0" w:type="dxa"/>
          </w:tblCellMar>
        </w:tblPrEx>
        <w:trPr>
          <w:trHeight w:val="264" w:hRule="atLeast"/>
        </w:trPr>
        <w:tc>
          <w:tcPr>
            <w:tcW w:w="673"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294"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294"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1733"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139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112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121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675"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554"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p>
        </w:tc>
        <w:tc>
          <w:tcPr>
            <w:tcW w:w="1199" w:type="dxa"/>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4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CellMar>
            <w:top w:w="0" w:type="dxa"/>
            <w:left w:w="0" w:type="dxa"/>
            <w:bottom w:w="0" w:type="dxa"/>
            <w:right w:w="0" w:type="dxa"/>
          </w:tblCellMar>
        </w:tblPrEx>
        <w:trPr>
          <w:trHeight w:val="264" w:hRule="atLeast"/>
        </w:trPr>
        <w:tc>
          <w:tcPr>
            <w:tcW w:w="7958" w:type="dxa"/>
            <w:gridSpan w:val="11"/>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40" w:lineRule="exact"/>
              <w:rPr>
                <w:rFonts w:ascii="Arial" w:hAnsi="Arial" w:cs="Arial"/>
                <w:color w:val="000000"/>
                <w:sz w:val="20"/>
              </w:rPr>
            </w:pPr>
            <w:r>
              <w:rPr>
                <w:rFonts w:hint="eastAsia" w:ascii="宋体" w:hAnsi="宋体" w:eastAsia="宋体" w:cs="宋体"/>
                <w:color w:val="000000"/>
                <w:kern w:val="0"/>
                <w:sz w:val="20"/>
              </w:rPr>
              <w:t>单位</w:t>
            </w:r>
            <w:r>
              <w:rPr>
                <w:rFonts w:hint="eastAsia" w:ascii="仿宋_GB2312" w:hAnsi="仿宋_GB2312" w:cs="仿宋_GB2312"/>
                <w:bCs/>
                <w:color w:val="0000FF"/>
                <w:sz w:val="21"/>
                <w:szCs w:val="21"/>
              </w:rPr>
              <w:t>：</w:t>
            </w:r>
            <w:r>
              <w:rPr>
                <w:rFonts w:hint="eastAsia" w:ascii="宋体" w:hAnsi="宋体" w:eastAsia="宋体" w:cs="宋体"/>
                <w:color w:val="000000"/>
                <w:kern w:val="0"/>
                <w:sz w:val="20"/>
              </w:rPr>
              <w:t>黄山市文化和旅游局（本级）</w:t>
            </w:r>
          </w:p>
        </w:tc>
        <w:tc>
          <w:tcPr>
            <w:tcW w:w="1199" w:type="dxa"/>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4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trHeight w:val="569" w:hRule="atLeast"/>
        </w:trPr>
        <w:tc>
          <w:tcPr>
            <w:tcW w:w="1261"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73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39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12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1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67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554"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199"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0" w:type="dxa"/>
            <w:bottom w:w="0" w:type="dxa"/>
            <w:right w:w="0" w:type="dxa"/>
          </w:tblCellMar>
        </w:tblPrEx>
        <w:trPr>
          <w:trHeight w:val="569" w:hRule="atLeast"/>
        </w:trPr>
        <w:tc>
          <w:tcPr>
            <w:tcW w:w="1261"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73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21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67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55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9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69" w:hRule="atLeast"/>
        </w:trPr>
        <w:tc>
          <w:tcPr>
            <w:tcW w:w="1261"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73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21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67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55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9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1261"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73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21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67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55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199"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41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458"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393"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235" w:hRule="atLeast"/>
        </w:trPr>
        <w:tc>
          <w:tcPr>
            <w:tcW w:w="41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458"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393"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8,153.84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902.75</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7,251.10</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b/>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b/>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一般公共服务支出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20136</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其他共产党事务支出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2013699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3.90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文化旅游体育与传媒支出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6,941.93</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632.37</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6,309.56</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文化和旅游</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6,570.66</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632.37</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5,938.30</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行政运行</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632.37</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632.37</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2070102</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一般行政管理事务</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345.71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345.71</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2070107</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艺术表演团体</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9.00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9.00</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2070111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文化创作与保护</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2,125.74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2,125.74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2070113</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旅游宣传</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260.43</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260.43</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2070199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其他文化和旅游支出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3,197.41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3,197.41</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20702</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文物</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44.04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44.04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2070204</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文物保护</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44.04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44.04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20707</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国家电影事业发展专项资金安排的支出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5.00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5.00</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2070799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其他国家电影事业发展专项资金支出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5.00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5.00</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其他文化旅游体育与传媒支出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322.23</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322.23</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2079999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其他文化旅游体育与传媒支出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322.23</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322.23</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社会保障和就业支出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138.40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138.40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20805</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行政事业单位养老支出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89.94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89.94</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2080501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行政单位离退休</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34.40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34.40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2080505</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49.36</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49.36</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2080506</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机关事业单位职业年金缴费支出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6.17</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6.17</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20808</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抚恤</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48.46</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48.46</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2080801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死亡抚恤</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48.46</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48.46</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210</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卫生健康支出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21011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行政事业单位医疗</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2101101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行政单位医疗</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35.20</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213</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农林水支出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21305</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扶贫</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2130599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其他扶贫支出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5.51</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216</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商业服务业等支出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21699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其他商业服务业等支出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2169999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其他商业服务业等支出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425.79</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221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住房保障支出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92.88</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92.88</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22102</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住房改革支出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92.88</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92.88</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2210201</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住房公积金</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56.87</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56.87</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2210202</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提租补贴</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36.01</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36.01</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抗疫特别国债安排的支出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23402</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抗疫相关支出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1261"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2340299</w:t>
            </w:r>
          </w:p>
        </w:tc>
        <w:tc>
          <w:tcPr>
            <w:tcW w:w="17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其他抗疫相关支出</w:t>
            </w:r>
          </w:p>
        </w:tc>
        <w:tc>
          <w:tcPr>
            <w:tcW w:w="13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112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121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510.24</w:t>
            </w:r>
          </w:p>
        </w:tc>
        <w:tc>
          <w:tcPr>
            <w:tcW w:w="67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55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c>
          <w:tcPr>
            <w:tcW w:w="119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9157" w:type="dxa"/>
            <w:gridSpan w:val="12"/>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注：本表反映单位本年度各项支出情况。</w:t>
            </w:r>
          </w:p>
        </w:tc>
      </w:tr>
    </w:tbl>
    <w:p>
      <w:pPr>
        <w:keepNext w:val="0"/>
        <w:keepLines w:val="0"/>
        <w:pageBreakBefore w:val="0"/>
        <w:kinsoku/>
        <w:wordWrap/>
        <w:overflowPunct/>
        <w:topLinePunct w:val="0"/>
        <w:autoSpaceDE/>
        <w:autoSpaceDN/>
        <w:bidi w:val="0"/>
        <w:adjustRightInd/>
        <w:snapToGrid/>
        <w:spacing w:line="400" w:lineRule="exact"/>
        <w:ind w:firstLine="628" w:firstLineChars="200"/>
        <w:jc w:val="center"/>
        <w:rPr>
          <w:rFonts w:ascii="黑体" w:hAnsi="黑体" w:eastAsia="黑体"/>
          <w:szCs w:val="32"/>
        </w:rPr>
      </w:pPr>
    </w:p>
    <w:p>
      <w:pPr>
        <w:keepNext w:val="0"/>
        <w:keepLines w:val="0"/>
        <w:pageBreakBefore w:val="0"/>
        <w:kinsoku/>
        <w:wordWrap/>
        <w:overflowPunct/>
        <w:topLinePunct w:val="0"/>
        <w:autoSpaceDE/>
        <w:autoSpaceDN/>
        <w:bidi w:val="0"/>
        <w:adjustRightInd/>
        <w:snapToGrid/>
        <w:spacing w:line="400" w:lineRule="exact"/>
        <w:ind w:firstLine="628" w:firstLineChars="200"/>
        <w:jc w:val="center"/>
        <w:rPr>
          <w:rFonts w:ascii="黑体" w:hAnsi="黑体" w:eastAsia="黑体"/>
          <w:szCs w:val="32"/>
        </w:rPr>
      </w:pPr>
      <w:r>
        <w:rPr>
          <w:rFonts w:hint="eastAsia" w:ascii="黑体" w:hAnsi="黑体" w:eastAsia="黑体"/>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713"/>
        <w:gridCol w:w="226"/>
        <w:gridCol w:w="200"/>
        <w:gridCol w:w="247"/>
        <w:gridCol w:w="579"/>
        <w:gridCol w:w="2150"/>
        <w:gridCol w:w="426"/>
        <w:gridCol w:w="42"/>
        <w:gridCol w:w="403"/>
        <w:gridCol w:w="547"/>
        <w:gridCol w:w="173"/>
        <w:gridCol w:w="787"/>
        <w:gridCol w:w="152"/>
        <w:gridCol w:w="271"/>
        <w:gridCol w:w="460"/>
        <w:gridCol w:w="644"/>
      </w:tblGrid>
      <w:tr>
        <w:tblPrEx>
          <w:tblCellMar>
            <w:top w:w="0" w:type="dxa"/>
            <w:left w:w="0" w:type="dxa"/>
            <w:bottom w:w="0" w:type="dxa"/>
            <w:right w:w="0" w:type="dxa"/>
          </w:tblCellMar>
        </w:tblPrEx>
        <w:trPr>
          <w:trHeight w:val="264" w:hRule="atLeast"/>
        </w:trPr>
        <w:tc>
          <w:tcPr>
            <w:tcW w:w="1939"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447"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579"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2618" w:type="dxa"/>
            <w:gridSpan w:val="3"/>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403"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720"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939" w:type="dxa"/>
            <w:gridSpan w:val="2"/>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271"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CellMar>
            <w:top w:w="0" w:type="dxa"/>
            <w:left w:w="0" w:type="dxa"/>
            <w:bottom w:w="0" w:type="dxa"/>
            <w:right w:w="0" w:type="dxa"/>
          </w:tblCellMar>
        </w:tblPrEx>
        <w:trPr>
          <w:trHeight w:val="264" w:hRule="atLeast"/>
        </w:trPr>
        <w:tc>
          <w:tcPr>
            <w:tcW w:w="7645" w:type="dxa"/>
            <w:gridSpan w:val="13"/>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r>
              <w:rPr>
                <w:rFonts w:hint="eastAsia" w:ascii="宋体" w:hAnsi="宋体" w:eastAsia="宋体" w:cs="宋体"/>
                <w:color w:val="000000"/>
                <w:kern w:val="0"/>
                <w:sz w:val="18"/>
                <w:szCs w:val="18"/>
              </w:rPr>
              <w:t>单位：黄山市文化和旅游局（本级）</w:t>
            </w:r>
          </w:p>
        </w:tc>
        <w:tc>
          <w:tcPr>
            <w:tcW w:w="271" w:type="dxa"/>
            <w:tcBorders>
              <w:top w:val="nil"/>
              <w:left w:val="nil"/>
              <w:bottom w:val="nil"/>
              <w:right w:val="nil"/>
            </w:tcBorders>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400" w:lineRule="exact"/>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trHeight w:val="235" w:hRule="atLeast"/>
        </w:trPr>
        <w:tc>
          <w:tcPr>
            <w:tcW w:w="296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收     入</w:t>
            </w:r>
          </w:p>
        </w:tc>
        <w:tc>
          <w:tcPr>
            <w:tcW w:w="6055" w:type="dxa"/>
            <w:gridSpan w:val="11"/>
            <w:tcBorders>
              <w:top w:val="single" w:color="000000" w:sz="4" w:space="0"/>
              <w:left w:val="nil"/>
              <w:bottom w:val="single" w:color="000000" w:sz="4" w:space="0"/>
              <w:right w:val="single" w:color="000000" w:sz="8"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支     出</w:t>
            </w:r>
          </w:p>
        </w:tc>
      </w:tr>
      <w:tr>
        <w:tblPrEx>
          <w:tblCellMar>
            <w:top w:w="0" w:type="dxa"/>
            <w:left w:w="0" w:type="dxa"/>
            <w:bottom w:w="0" w:type="dxa"/>
            <w:right w:w="0" w:type="dxa"/>
          </w:tblCellMar>
        </w:tblPrEx>
        <w:trPr>
          <w:trHeight w:val="569" w:hRule="atLeast"/>
        </w:trPr>
        <w:tc>
          <w:tcPr>
            <w:tcW w:w="1713"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w:t>
            </w:r>
          </w:p>
        </w:tc>
        <w:tc>
          <w:tcPr>
            <w:tcW w:w="426"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行次</w:t>
            </w:r>
          </w:p>
        </w:tc>
        <w:tc>
          <w:tcPr>
            <w:tcW w:w="826"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2150"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w:t>
            </w:r>
          </w:p>
        </w:tc>
        <w:tc>
          <w:tcPr>
            <w:tcW w:w="426"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行次</w:t>
            </w:r>
          </w:p>
        </w:tc>
        <w:tc>
          <w:tcPr>
            <w:tcW w:w="992" w:type="dxa"/>
            <w:gridSpan w:val="3"/>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960"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一般公共预算财政拨款</w:t>
            </w:r>
          </w:p>
        </w:tc>
        <w:tc>
          <w:tcPr>
            <w:tcW w:w="883" w:type="dxa"/>
            <w:gridSpan w:val="3"/>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政府性基金预算财政拨款</w:t>
            </w:r>
          </w:p>
        </w:tc>
        <w:tc>
          <w:tcPr>
            <w:tcW w:w="644" w:type="dxa"/>
            <w:vMerge w:val="restart"/>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国有资本经营预算财政拨款</w:t>
            </w:r>
          </w:p>
        </w:tc>
      </w:tr>
      <w:tr>
        <w:tblPrEx>
          <w:tblCellMar>
            <w:top w:w="0" w:type="dxa"/>
            <w:left w:w="0" w:type="dxa"/>
            <w:bottom w:w="0" w:type="dxa"/>
            <w:right w:w="0" w:type="dxa"/>
          </w:tblCellMar>
        </w:tblPrEx>
        <w:trPr>
          <w:trHeight w:val="569" w:hRule="atLeast"/>
        </w:trPr>
        <w:tc>
          <w:tcPr>
            <w:tcW w:w="1713"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426"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826"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2150"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426"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992" w:type="dxa"/>
            <w:gridSpan w:val="3"/>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960"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883" w:type="dxa"/>
            <w:gridSpan w:val="3"/>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644" w:type="dxa"/>
            <w:vMerge w:val="continue"/>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栏次</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栏次</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18"/>
                <w:szCs w:val="18"/>
              </w:rPr>
            </w:pP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w:t>
            </w: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一、一般公共预算财政拨款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5,992.97</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3.90</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3.90</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二、政府性基金预算财政拨款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515.24</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二、外交支出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三、国有资本经营预算财政拨款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三、国防支出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四、公共安全支出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五、教育支出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六、科学技术支出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6,659.70</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6,654.70</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138.40</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138.40</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35.20</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35.20</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5.51</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5.51</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92.88</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92.88</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二十、粮油物资储备支出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8"/>
                <w:szCs w:val="18"/>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二十一、国有资本经营预算支出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5"/>
                <w:szCs w:val="15"/>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二十二、灾害防治及应急管理支出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5"/>
                <w:szCs w:val="15"/>
              </w:rPr>
            </w:pP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二十三、其他支出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本年收入合计</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6,508.21</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二十四、债务还本支出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年初财政拨款结转和结余</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1,277.73</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二十五、债务付息支出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一般公共预算财政拨款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1,277.73</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二十六、抗疫特别国债安排的支出</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政府性基金预算财政拨款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本年支出合计</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7,445.83</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6,930.59</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515.24</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国有资本经营预算财政拨款</w:t>
            </w:r>
          </w:p>
        </w:tc>
        <w:tc>
          <w:tcPr>
            <w:tcW w:w="4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826"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21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年末财政拨款结转和结余</w:t>
            </w:r>
          </w:p>
        </w:tc>
        <w:tc>
          <w:tcPr>
            <w:tcW w:w="42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992"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340.11</w:t>
            </w:r>
          </w:p>
        </w:tc>
        <w:tc>
          <w:tcPr>
            <w:tcW w:w="96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340.11</w:t>
            </w:r>
          </w:p>
        </w:tc>
        <w:tc>
          <w:tcPr>
            <w:tcW w:w="883" w:type="dxa"/>
            <w:gridSpan w:val="3"/>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44"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1713"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总计</w:t>
            </w:r>
          </w:p>
        </w:tc>
        <w:tc>
          <w:tcPr>
            <w:tcW w:w="426"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826"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7,785.93</w:t>
            </w:r>
          </w:p>
        </w:tc>
        <w:tc>
          <w:tcPr>
            <w:tcW w:w="2150"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总计</w:t>
            </w:r>
          </w:p>
        </w:tc>
        <w:tc>
          <w:tcPr>
            <w:tcW w:w="426"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992" w:type="dxa"/>
            <w:gridSpan w:val="3"/>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7,785.93</w:t>
            </w:r>
          </w:p>
        </w:tc>
        <w:tc>
          <w:tcPr>
            <w:tcW w:w="960" w:type="dxa"/>
            <w:gridSpan w:val="2"/>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7,270.69</w:t>
            </w:r>
          </w:p>
        </w:tc>
        <w:tc>
          <w:tcPr>
            <w:tcW w:w="883" w:type="dxa"/>
            <w:gridSpan w:val="3"/>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515.24</w:t>
            </w:r>
          </w:p>
        </w:tc>
        <w:tc>
          <w:tcPr>
            <w:tcW w:w="644" w:type="dxa"/>
            <w:tcBorders>
              <w:top w:val="nil"/>
              <w:left w:val="nil"/>
              <w:bottom w:val="single" w:color="000000" w:sz="8" w:space="0"/>
              <w:right w:val="single" w:color="000000" w:sz="8"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9020" w:type="dxa"/>
            <w:gridSpan w:val="16"/>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注：本表反映单位本年度一般公共预算财政拨款、政府性基金预算财政拨款和国有资本经营预算财政拨款的总收支和年末结转结余情况。</w:t>
            </w:r>
          </w:p>
        </w:tc>
      </w:tr>
    </w:tbl>
    <w:p>
      <w:pPr>
        <w:ind w:firstLine="628" w:firstLineChars="200"/>
        <w:jc w:val="center"/>
        <w:outlineLvl w:val="1"/>
        <w:rPr>
          <w:rFonts w:ascii="黑体" w:hAnsi="黑体" w:eastAsia="黑体"/>
          <w:szCs w:val="32"/>
        </w:rPr>
      </w:pPr>
    </w:p>
    <w:p>
      <w:pPr>
        <w:ind w:firstLine="628" w:firstLineChars="200"/>
        <w:jc w:val="center"/>
        <w:outlineLvl w:val="1"/>
        <w:rPr>
          <w:rFonts w:ascii="黑体" w:hAnsi="黑体" w:eastAsia="黑体"/>
          <w:szCs w:val="32"/>
        </w:rPr>
      </w:pPr>
      <w:r>
        <w:rPr>
          <w:rFonts w:hint="eastAsia" w:ascii="黑体" w:hAnsi="黑体" w:eastAsia="黑体"/>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259" w:hRule="atLeast"/>
        </w:trPr>
        <w:tc>
          <w:tcPr>
            <w:tcW w:w="445"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542"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386"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905"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273"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367"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2925"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CellMar>
            <w:top w:w="0" w:type="dxa"/>
            <w:left w:w="0" w:type="dxa"/>
            <w:bottom w:w="0" w:type="dxa"/>
            <w:right w:w="0" w:type="dxa"/>
          </w:tblCellMar>
        </w:tblPrEx>
        <w:trPr>
          <w:trHeight w:val="259" w:hRule="atLeast"/>
        </w:trPr>
        <w:tc>
          <w:tcPr>
            <w:tcW w:w="5918" w:type="dxa"/>
            <w:gridSpan w:val="8"/>
            <w:tcBorders>
              <w:top w:val="nil"/>
              <w:left w:val="nil"/>
              <w:bottom w:val="nil"/>
              <w:right w:val="nil"/>
            </w:tcBorders>
            <w:tcMar>
              <w:top w:w="12" w:type="dxa"/>
              <w:left w:w="12" w:type="dxa"/>
              <w:right w:w="12" w:type="dxa"/>
            </w:tcMar>
            <w:vAlign w:val="bottom"/>
          </w:tcPr>
          <w:p>
            <w:pPr>
              <w:rPr>
                <w:rFonts w:ascii="Arial" w:hAnsi="Arial" w:cs="Arial"/>
                <w:color w:val="000000"/>
                <w:sz w:val="20"/>
              </w:rPr>
            </w:pPr>
            <w:r>
              <w:rPr>
                <w:rFonts w:hint="eastAsia" w:ascii="宋体" w:hAnsi="宋体" w:eastAsia="宋体" w:cs="宋体"/>
                <w:color w:val="000000"/>
                <w:kern w:val="0"/>
                <w:sz w:val="22"/>
                <w:szCs w:val="22"/>
              </w:rPr>
              <w:t>单位：黄山市文化和旅游局（本级）</w:t>
            </w:r>
          </w:p>
        </w:tc>
        <w:tc>
          <w:tcPr>
            <w:tcW w:w="2925"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trHeight w:val="289"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9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5565" w:type="dxa"/>
            <w:gridSpan w:val="5"/>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0" w:type="dxa"/>
            <w:bottom w:w="0" w:type="dxa"/>
            <w:right w:w="0" w:type="dxa"/>
          </w:tblCellMar>
        </w:tblPrEx>
        <w:trPr>
          <w:trHeight w:val="569"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774"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8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909"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0" w:type="dxa"/>
            <w:bottom w:w="0" w:type="dxa"/>
            <w:right w:w="0" w:type="dxa"/>
          </w:tblCellMar>
        </w:tblPrEx>
        <w:trPr>
          <w:trHeight w:val="569"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9" w:hRule="atLeast"/>
        </w:trPr>
        <w:tc>
          <w:tcPr>
            <w:tcW w:w="445"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4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9" w:hRule="atLeast"/>
        </w:trPr>
        <w:tc>
          <w:tcPr>
            <w:tcW w:w="445"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446"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4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00"/>
                <w:sz w:val="22"/>
                <w:szCs w:val="22"/>
              </w:rPr>
            </w:pP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6,930.59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902.75</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b/>
                <w:bCs/>
                <w:color w:val="000000"/>
                <w:sz w:val="22"/>
                <w:szCs w:val="22"/>
              </w:rPr>
            </w:pPr>
            <w:r>
              <w:rPr>
                <w:rFonts w:hint="eastAsia" w:cs="Arial"/>
                <w:b/>
                <w:bCs/>
                <w:color w:val="000000"/>
                <w:sz w:val="22"/>
                <w:szCs w:val="22"/>
              </w:rPr>
              <w:t>6,027.84</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一般公共服务支出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20136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其他共产党事务支出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2013699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3.90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文化旅游体育与传媒支出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6,654.70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6,022.34</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文化和旅游</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6,570.66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5,938.30</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行政运行</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632.37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一般行政管理事务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345.71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345.71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2070107</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艺术表演团体</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9.00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9.00</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2070111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文化创作与保护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2,125.74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2,125.74</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2070113</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旅游宣传</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260.43</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260.43</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2070199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其他文化和旅游支出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3,197.41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3,197.41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文物</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44.04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44.04</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2070204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文物保护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44.04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44.04</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其他文化旅游体育与传媒支出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40.00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40.00</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2079999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其他文化旅游体育与传媒支出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40.00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40.00</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社会保障和就业支出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138.40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138.40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行政事业单位养老支出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89.94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89.94</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行政单位离退休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34.40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34.40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49.36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49.36</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2080506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机关事业单位职业年金缴费支出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6.17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6.17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20808</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抚恤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2080801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死亡抚恤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48.46</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卫生健康支出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21011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行政事业单位医疗</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2101101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行政单位医疗</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35.20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农林水支出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扶贫</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2130599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其他扶贫支出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5.51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住房保障支出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住房改革支出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92.88</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住房公积金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56.87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56.87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2210202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ascii="宋体" w:hAnsi="宋体" w:eastAsia="宋体" w:cs="Arial"/>
                <w:color w:val="000000"/>
                <w:sz w:val="22"/>
                <w:szCs w:val="22"/>
              </w:rPr>
            </w:pPr>
            <w:r>
              <w:rPr>
                <w:rFonts w:hint="eastAsia" w:cs="Arial"/>
                <w:color w:val="000000"/>
                <w:sz w:val="22"/>
                <w:szCs w:val="22"/>
              </w:rPr>
              <w:t xml:space="preserve">  提租补贴</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36.01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36.01</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right"/>
              <w:rPr>
                <w:rFonts w:ascii="宋体" w:hAnsi="宋体" w:eastAsia="宋体" w:cs="Arial"/>
                <w:color w:val="000000"/>
                <w:sz w:val="22"/>
                <w:szCs w:val="22"/>
              </w:rPr>
            </w:pPr>
            <w:r>
              <w:rPr>
                <w:rFonts w:hint="eastAsia" w:cs="Arial"/>
                <w:color w:val="000000"/>
                <w:sz w:val="22"/>
                <w:szCs w:val="22"/>
              </w:rPr>
              <w:t>　</w:t>
            </w:r>
          </w:p>
        </w:tc>
      </w:tr>
      <w:tr>
        <w:tblPrEx>
          <w:tblCellMar>
            <w:top w:w="0" w:type="dxa"/>
            <w:left w:w="0" w:type="dxa"/>
            <w:bottom w:w="0" w:type="dxa"/>
            <w:right w:w="0" w:type="dxa"/>
          </w:tblCellMar>
        </w:tblPrEx>
        <w:trPr>
          <w:trHeight w:val="289" w:hRule="atLeast"/>
        </w:trPr>
        <w:tc>
          <w:tcPr>
            <w:tcW w:w="8843" w:type="dxa"/>
            <w:gridSpan w:val="10"/>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注：本表反映单位本年度一般公共预算财政拨款支出情况。</w:t>
            </w:r>
          </w:p>
        </w:tc>
      </w:tr>
    </w:tbl>
    <w:p>
      <w:pPr>
        <w:ind w:firstLine="628" w:firstLineChars="200"/>
        <w:jc w:val="center"/>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一般公共预算财政拨款基本支出决算表</w:t>
      </w:r>
    </w:p>
    <w:tbl>
      <w:tblPr>
        <w:tblStyle w:val="5"/>
        <w:tblW w:w="8898" w:type="dxa"/>
        <w:tblInd w:w="0" w:type="dxa"/>
        <w:tblLayout w:type="fixed"/>
        <w:tblCellMar>
          <w:top w:w="0" w:type="dxa"/>
          <w:left w:w="0" w:type="dxa"/>
          <w:bottom w:w="0" w:type="dxa"/>
          <w:right w:w="0" w:type="dxa"/>
        </w:tblCellMar>
      </w:tblPr>
      <w:tblGrid>
        <w:gridCol w:w="606"/>
        <w:gridCol w:w="1533"/>
        <w:gridCol w:w="258"/>
        <w:gridCol w:w="622"/>
        <w:gridCol w:w="578"/>
        <w:gridCol w:w="1377"/>
        <w:gridCol w:w="325"/>
        <w:gridCol w:w="524"/>
        <w:gridCol w:w="633"/>
        <w:gridCol w:w="1692"/>
        <w:gridCol w:w="177"/>
        <w:gridCol w:w="573"/>
      </w:tblGrid>
      <w:tr>
        <w:tblPrEx>
          <w:tblCellMar>
            <w:top w:w="0" w:type="dxa"/>
            <w:left w:w="0" w:type="dxa"/>
            <w:bottom w:w="0" w:type="dxa"/>
            <w:right w:w="0" w:type="dxa"/>
          </w:tblCellMar>
        </w:tblPrEx>
        <w:trPr>
          <w:trHeight w:val="264" w:hRule="atLeast"/>
        </w:trPr>
        <w:tc>
          <w:tcPr>
            <w:tcW w:w="606"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791"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622"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578"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702" w:type="dxa"/>
            <w:gridSpan w:val="2"/>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524"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633"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1692" w:type="dxa"/>
            <w:tcBorders>
              <w:top w:val="nil"/>
              <w:left w:val="nil"/>
              <w:bottom w:val="nil"/>
              <w:right w:val="nil"/>
            </w:tcBorders>
            <w:tcMar>
              <w:top w:w="12" w:type="dxa"/>
              <w:left w:w="12" w:type="dxa"/>
              <w:right w:w="12" w:type="dxa"/>
            </w:tcMar>
            <w:vAlign w:val="bottom"/>
          </w:tcPr>
          <w:p>
            <w:pPr>
              <w:rPr>
                <w:rFonts w:ascii="Arial" w:hAnsi="Arial" w:cs="Arial"/>
                <w:color w:val="000000"/>
                <w:sz w:val="20"/>
              </w:rPr>
            </w:pPr>
          </w:p>
        </w:tc>
        <w:tc>
          <w:tcPr>
            <w:tcW w:w="750"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CellMar>
            <w:top w:w="0" w:type="dxa"/>
            <w:left w:w="0" w:type="dxa"/>
            <w:bottom w:w="0" w:type="dxa"/>
            <w:right w:w="0" w:type="dxa"/>
          </w:tblCellMar>
        </w:tblPrEx>
        <w:trPr>
          <w:trHeight w:val="264" w:hRule="atLeast"/>
        </w:trPr>
        <w:tc>
          <w:tcPr>
            <w:tcW w:w="6456" w:type="dxa"/>
            <w:gridSpan w:val="9"/>
            <w:tcBorders>
              <w:top w:val="nil"/>
              <w:left w:val="nil"/>
              <w:bottom w:val="nil"/>
              <w:right w:val="nil"/>
            </w:tcBorders>
            <w:tcMar>
              <w:top w:w="12" w:type="dxa"/>
              <w:left w:w="12" w:type="dxa"/>
              <w:right w:w="12" w:type="dxa"/>
            </w:tcMar>
            <w:vAlign w:val="bottom"/>
          </w:tcPr>
          <w:p>
            <w:pPr>
              <w:rPr>
                <w:rFonts w:ascii="Arial" w:hAnsi="Arial" w:cs="Arial"/>
                <w:color w:val="000000"/>
                <w:sz w:val="20"/>
              </w:rPr>
            </w:pPr>
            <w:r>
              <w:rPr>
                <w:rFonts w:hint="eastAsia" w:ascii="宋体" w:hAnsi="宋体" w:eastAsia="宋体" w:cs="宋体"/>
                <w:color w:val="000000"/>
                <w:kern w:val="0"/>
                <w:sz w:val="20"/>
              </w:rPr>
              <w:t>单位</w:t>
            </w:r>
            <w:r>
              <w:rPr>
                <w:rFonts w:hint="eastAsia" w:ascii="宋体" w:hAnsi="宋体" w:eastAsia="宋体" w:cs="宋体"/>
                <w:kern w:val="0"/>
                <w:sz w:val="20"/>
              </w:rPr>
              <w:t>：黄山市文化和旅游局（本级）</w:t>
            </w:r>
          </w:p>
        </w:tc>
        <w:tc>
          <w:tcPr>
            <w:tcW w:w="2442" w:type="dxa"/>
            <w:gridSpan w:val="3"/>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tblPrEx>
          <w:tblCellMar>
            <w:top w:w="0" w:type="dxa"/>
            <w:left w:w="0" w:type="dxa"/>
            <w:bottom w:w="0" w:type="dxa"/>
            <w:right w:w="0" w:type="dxa"/>
          </w:tblCellMar>
        </w:tblPrEx>
        <w:trPr>
          <w:trHeight w:val="235" w:hRule="atLeast"/>
        </w:trPr>
        <w:tc>
          <w:tcPr>
            <w:tcW w:w="301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人员经费</w:t>
            </w:r>
          </w:p>
        </w:tc>
        <w:tc>
          <w:tcPr>
            <w:tcW w:w="5879" w:type="dxa"/>
            <w:gridSpan w:val="8"/>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公用经费</w:t>
            </w:r>
          </w:p>
        </w:tc>
      </w:tr>
      <w:tr>
        <w:tblPrEx>
          <w:tblCellMar>
            <w:top w:w="0" w:type="dxa"/>
            <w:left w:w="0" w:type="dxa"/>
            <w:bottom w:w="0" w:type="dxa"/>
            <w:right w:w="0" w:type="dxa"/>
          </w:tblCellMar>
        </w:tblPrEx>
        <w:trPr>
          <w:trHeight w:val="569" w:hRule="atLeast"/>
        </w:trPr>
        <w:tc>
          <w:tcPr>
            <w:tcW w:w="606"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经济分类科目编码</w:t>
            </w:r>
          </w:p>
        </w:tc>
        <w:tc>
          <w:tcPr>
            <w:tcW w:w="1533"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科目名称</w:t>
            </w:r>
          </w:p>
        </w:tc>
        <w:tc>
          <w:tcPr>
            <w:tcW w:w="880"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金额</w:t>
            </w:r>
          </w:p>
        </w:tc>
        <w:tc>
          <w:tcPr>
            <w:tcW w:w="578"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经济分类科目编码</w:t>
            </w:r>
          </w:p>
        </w:tc>
        <w:tc>
          <w:tcPr>
            <w:tcW w:w="1377"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科目名称</w:t>
            </w:r>
          </w:p>
        </w:tc>
        <w:tc>
          <w:tcPr>
            <w:tcW w:w="849"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金额</w:t>
            </w:r>
          </w:p>
        </w:tc>
        <w:tc>
          <w:tcPr>
            <w:tcW w:w="633"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经济分类科目编码</w:t>
            </w:r>
          </w:p>
        </w:tc>
        <w:tc>
          <w:tcPr>
            <w:tcW w:w="1869"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科目名称</w:t>
            </w:r>
          </w:p>
        </w:tc>
        <w:tc>
          <w:tcPr>
            <w:tcW w:w="573" w:type="dxa"/>
            <w:vMerge w:val="restart"/>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金额</w:t>
            </w:r>
          </w:p>
        </w:tc>
      </w:tr>
      <w:tr>
        <w:tblPrEx>
          <w:tblCellMar>
            <w:top w:w="0" w:type="dxa"/>
            <w:left w:w="0" w:type="dxa"/>
            <w:bottom w:w="0" w:type="dxa"/>
            <w:right w:w="0" w:type="dxa"/>
          </w:tblCellMar>
        </w:tblPrEx>
        <w:trPr>
          <w:trHeight w:val="569" w:hRule="atLeast"/>
        </w:trPr>
        <w:tc>
          <w:tcPr>
            <w:tcW w:w="606"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533"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880"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578"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377"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849"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633"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1869"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c>
          <w:tcPr>
            <w:tcW w:w="573" w:type="dxa"/>
            <w:vMerge w:val="continue"/>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工资福利支出</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717.08</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商品和服务支出</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40.61</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307</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债务利息及费用支出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基本工资</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180.97</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30201</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办公费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30701</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国内债务付息</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津贴补贴</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142.99</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30202</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印刷费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30702</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国外债务付息</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奖金</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215.11</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30203</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咨询费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30703</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国内债务发行费用</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伙食补助费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8"/>
                <w:szCs w:val="18"/>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30204</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手续费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30704</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国外债务发行费用</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绩效工资</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8"/>
                <w:szCs w:val="18"/>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30205</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水费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资本性支出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机关事业单位基本养老保险缴费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49.36</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30206</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电费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31001</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房屋建筑物购建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职业年金缴费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6.17</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30207</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邮电费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31002</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办公设备购置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30110</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职工基本医疗保险缴费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24.03</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30208</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取暖费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31003</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专用设备购置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30111</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公务员医疗补助缴费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15.11</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30209</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物业管理费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31005</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基础设施建设</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30112</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其他社会保障缴费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3.65</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30211</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差旅费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31006</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大型修缮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30113</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住房公积金</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79.69</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30212</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因公出国（境）费用</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31007</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信息网络及软件购置更新</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30114</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医疗费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8"/>
                <w:szCs w:val="18"/>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30213</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维修(护)费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31008</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物资储备</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其他工资福利支出</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8"/>
                <w:szCs w:val="18"/>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30214</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租赁费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31009</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土地补偿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对个人和家庭的补助</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145.06</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30215</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会议费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31010</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安置补助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离休费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2.30</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30216</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培训费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31011</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地上附着物和青苗补偿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退休费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30217</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公务接待费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31012</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拆迁补偿</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退职（役）费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30218</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专用材料费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31013</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公务用车购置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抚恤金</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51.75</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30224</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被装购置费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31019</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其他交通工具购置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生活补助</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0.74</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30225</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专用燃料费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31021</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文物和陈列品购置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救济费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30226</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劳务费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31022</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无形资产购置</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59"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医疗费补助</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30227</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委托业务费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31099</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其他资本性支出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助学金</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30228</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工会经费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5.90</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312</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对企业补助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奖励金</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0.71</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30229</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福利费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31201</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资本金注入</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个人农业生产补贴</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30231</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公务用车运行维护费</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31203</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政府投资基金股权投资</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代缴社会保险费</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30239</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其他交通费用</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34.71</w:t>
            </w: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31204</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费用补贴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其他对个人和家庭的补助</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89.55</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30240</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税金及附加费用</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31205</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利息补贴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12"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6"/>
                <w:szCs w:val="16"/>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30299</w:t>
            </w: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其他商品和服务支出</w:t>
            </w: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31299 </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其他对企业补助</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6"/>
                <w:szCs w:val="16"/>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399</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其他支出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6"/>
                <w:szCs w:val="16"/>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39906</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赠与</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3"/>
                <w:szCs w:val="13"/>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39907</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国家赔偿费用支出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6"/>
                <w:szCs w:val="16"/>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39908</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对民间非营利组织和群众性自治组织补贴</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35" w:hRule="atLeast"/>
        </w:trPr>
        <w:tc>
          <w:tcPr>
            <w:tcW w:w="60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00"/>
                <w:sz w:val="16"/>
                <w:szCs w:val="16"/>
              </w:rPr>
            </w:pPr>
          </w:p>
        </w:tc>
        <w:tc>
          <w:tcPr>
            <w:tcW w:w="15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5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13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84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p>
        </w:tc>
        <w:tc>
          <w:tcPr>
            <w:tcW w:w="63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39999</w:t>
            </w:r>
          </w:p>
        </w:tc>
        <w:tc>
          <w:tcPr>
            <w:tcW w:w="1869"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其他支出</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18" w:hRule="atLeast"/>
        </w:trPr>
        <w:tc>
          <w:tcPr>
            <w:tcW w:w="2139" w:type="dxa"/>
            <w:gridSpan w:val="2"/>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人员经费合计</w:t>
            </w:r>
          </w:p>
        </w:tc>
        <w:tc>
          <w:tcPr>
            <w:tcW w:w="880"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6"/>
                <w:szCs w:val="16"/>
              </w:rPr>
            </w:pPr>
            <w:r>
              <w:rPr>
                <w:rFonts w:hint="eastAsia" w:ascii="宋体" w:hAnsi="宋体" w:eastAsia="宋体" w:cs="宋体"/>
                <w:color w:val="000000"/>
                <w:sz w:val="16"/>
                <w:szCs w:val="16"/>
              </w:rPr>
              <w:t>862.13</w:t>
            </w:r>
          </w:p>
        </w:tc>
        <w:tc>
          <w:tcPr>
            <w:tcW w:w="5306" w:type="dxa"/>
            <w:gridSpan w:val="7"/>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公用经费合计</w:t>
            </w:r>
          </w:p>
        </w:tc>
        <w:tc>
          <w:tcPr>
            <w:tcW w:w="573"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40" w:lineRule="exact"/>
              <w:jc w:val="right"/>
              <w:rPr>
                <w:rFonts w:ascii="宋体" w:hAnsi="宋体" w:eastAsia="宋体" w:cs="宋体"/>
                <w:color w:val="000000"/>
                <w:sz w:val="18"/>
                <w:szCs w:val="18"/>
              </w:rPr>
            </w:pPr>
            <w:r>
              <w:rPr>
                <w:rFonts w:hint="eastAsia" w:ascii="宋体" w:hAnsi="宋体" w:eastAsia="宋体" w:cs="宋体"/>
                <w:color w:val="000000"/>
                <w:sz w:val="18"/>
                <w:szCs w:val="18"/>
              </w:rPr>
              <w:t>40.61</w:t>
            </w:r>
          </w:p>
        </w:tc>
      </w:tr>
      <w:tr>
        <w:tblPrEx>
          <w:tblCellMar>
            <w:top w:w="0" w:type="dxa"/>
            <w:left w:w="0" w:type="dxa"/>
            <w:bottom w:w="0" w:type="dxa"/>
            <w:right w:w="0" w:type="dxa"/>
          </w:tblCellMar>
        </w:tblPrEx>
        <w:trPr>
          <w:trHeight w:val="90" w:hRule="atLeast"/>
        </w:trPr>
        <w:tc>
          <w:tcPr>
            <w:tcW w:w="8898" w:type="dxa"/>
            <w:gridSpan w:val="12"/>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注：本表反映单位本年度一般公共预算财政拨款基本支出明细情况。</w:t>
            </w:r>
          </w:p>
        </w:tc>
      </w:tr>
    </w:tbl>
    <w:p>
      <w:pPr>
        <w:rPr>
          <w:rFonts w:ascii="黑体" w:hAnsi="黑体" w:eastAsia="黑体"/>
          <w:szCs w:val="32"/>
        </w:rPr>
      </w:pPr>
    </w:p>
    <w:p>
      <w:pPr>
        <w:jc w:val="center"/>
        <w:rPr>
          <w:rFonts w:ascii="黑体" w:hAnsi="黑体" w:eastAsia="黑体"/>
          <w:szCs w:val="32"/>
        </w:rPr>
      </w:pPr>
      <w:r>
        <w:rPr>
          <w:rFonts w:hint="eastAsia" w:ascii="黑体" w:hAnsi="黑体" w:eastAsia="黑体"/>
          <w:szCs w:val="32"/>
        </w:rPr>
        <w:t>政府性基金预算财政拨款收入支出决算表</w:t>
      </w:r>
    </w:p>
    <w:p>
      <w:pPr>
        <w:jc w:val="right"/>
        <w:rPr>
          <w:rFonts w:ascii="黑体" w:hAnsi="黑体" w:eastAsia="黑体"/>
          <w:sz w:val="20"/>
        </w:rPr>
      </w:pPr>
      <w:r>
        <w:rPr>
          <w:rFonts w:hint="eastAsia" w:ascii="黑体" w:hAnsi="黑体" w:eastAsia="黑体"/>
          <w:sz w:val="20"/>
        </w:rPr>
        <w:t xml:space="preserve">                                                                              </w:t>
      </w:r>
      <w:r>
        <w:rPr>
          <w:rFonts w:hint="eastAsia" w:ascii="宋体" w:hAnsi="宋体" w:eastAsia="宋体" w:cs="宋体"/>
          <w:color w:val="000000"/>
          <w:kern w:val="0"/>
          <w:sz w:val="20"/>
        </w:rPr>
        <w:t>公开07表</w:t>
      </w:r>
    </w:p>
    <w:tbl>
      <w:tblPr>
        <w:tblStyle w:val="5"/>
        <w:tblW w:w="9220" w:type="dxa"/>
        <w:tblInd w:w="93" w:type="dxa"/>
        <w:tblLayout w:type="fixed"/>
        <w:tblCellMar>
          <w:top w:w="0" w:type="dxa"/>
          <w:left w:w="108" w:type="dxa"/>
          <w:bottom w:w="0" w:type="dxa"/>
          <w:right w:w="108" w:type="dxa"/>
        </w:tblCellMar>
      </w:tblPr>
      <w:tblGrid>
        <w:gridCol w:w="371"/>
        <w:gridCol w:w="360"/>
        <w:gridCol w:w="404"/>
        <w:gridCol w:w="774"/>
        <w:gridCol w:w="398"/>
        <w:gridCol w:w="555"/>
        <w:gridCol w:w="450"/>
        <w:gridCol w:w="720"/>
        <w:gridCol w:w="465"/>
        <w:gridCol w:w="705"/>
        <w:gridCol w:w="750"/>
        <w:gridCol w:w="390"/>
        <w:gridCol w:w="705"/>
        <w:gridCol w:w="236"/>
        <w:gridCol w:w="240"/>
        <w:gridCol w:w="4"/>
        <w:gridCol w:w="375"/>
        <w:gridCol w:w="495"/>
        <w:gridCol w:w="463"/>
        <w:gridCol w:w="360"/>
      </w:tblGrid>
      <w:tr>
        <w:tblPrEx>
          <w:tblCellMar>
            <w:top w:w="0" w:type="dxa"/>
            <w:left w:w="108" w:type="dxa"/>
            <w:bottom w:w="0" w:type="dxa"/>
            <w:right w:w="108" w:type="dxa"/>
          </w:tblCellMar>
        </w:tblPrEx>
        <w:trPr>
          <w:trHeight w:val="255" w:hRule="atLeast"/>
        </w:trPr>
        <w:tc>
          <w:tcPr>
            <w:tcW w:w="7047" w:type="dxa"/>
            <w:gridSpan w:val="13"/>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340" w:lineRule="exact"/>
              <w:jc w:val="left"/>
              <w:rPr>
                <w:rFonts w:ascii="Arial" w:hAnsi="Arial" w:eastAsia="宋体" w:cs="Arial"/>
                <w:color w:val="000000"/>
                <w:kern w:val="0"/>
                <w:sz w:val="20"/>
              </w:rPr>
            </w:pPr>
            <w:r>
              <w:rPr>
                <w:rFonts w:hint="eastAsia" w:ascii="宋体" w:hAnsi="宋体" w:eastAsia="宋体" w:cs="Arial"/>
                <w:kern w:val="0"/>
                <w:sz w:val="20"/>
              </w:rPr>
              <w:t>单位：黄山市文化和旅游局（本级）</w:t>
            </w:r>
          </w:p>
        </w:tc>
        <w:tc>
          <w:tcPr>
            <w:tcW w:w="236"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340" w:lineRule="exact"/>
              <w:jc w:val="left"/>
              <w:rPr>
                <w:rFonts w:ascii="Arial" w:hAnsi="Arial" w:eastAsia="宋体" w:cs="Arial"/>
                <w:color w:val="000000"/>
                <w:kern w:val="0"/>
                <w:sz w:val="20"/>
              </w:rPr>
            </w:pPr>
          </w:p>
        </w:tc>
        <w:tc>
          <w:tcPr>
            <w:tcW w:w="24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340" w:lineRule="exact"/>
              <w:jc w:val="left"/>
              <w:rPr>
                <w:rFonts w:ascii="Arial" w:hAnsi="Arial" w:eastAsia="宋体" w:cs="Arial"/>
                <w:color w:val="000000"/>
                <w:kern w:val="0"/>
                <w:sz w:val="20"/>
              </w:rPr>
            </w:pPr>
          </w:p>
        </w:tc>
        <w:tc>
          <w:tcPr>
            <w:tcW w:w="1697" w:type="dxa"/>
            <w:gridSpan w:val="5"/>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kern w:val="0"/>
                <w:sz w:val="20"/>
              </w:rPr>
            </w:pPr>
            <w:r>
              <w:rPr>
                <w:rFonts w:hint="eastAsia" w:ascii="宋体" w:hAnsi="宋体" w:eastAsia="宋体" w:cs="Arial"/>
                <w:color w:val="000000"/>
                <w:kern w:val="0"/>
                <w:sz w:val="20"/>
              </w:rPr>
              <w:t xml:space="preserve"> 金额单位：万元</w:t>
            </w:r>
          </w:p>
        </w:tc>
      </w:tr>
      <w:tr>
        <w:tblPrEx>
          <w:tblCellMar>
            <w:top w:w="0" w:type="dxa"/>
            <w:left w:w="108" w:type="dxa"/>
            <w:bottom w:w="0" w:type="dxa"/>
            <w:right w:w="108" w:type="dxa"/>
          </w:tblCellMar>
        </w:tblPrEx>
        <w:trPr>
          <w:gridAfter w:val="1"/>
          <w:wAfter w:w="360" w:type="dxa"/>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kern w:val="0"/>
                <w:sz w:val="22"/>
                <w:szCs w:val="22"/>
              </w:rPr>
            </w:pPr>
            <w:r>
              <w:rPr>
                <w:rFonts w:hint="eastAsia" w:ascii="宋体" w:hAnsi="宋体" w:eastAsia="宋体" w:cs="Arial"/>
                <w:kern w:val="0"/>
                <w:sz w:val="22"/>
                <w:szCs w:val="22"/>
              </w:rPr>
              <w:t>功能分类</w:t>
            </w:r>
          </w:p>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kern w:val="0"/>
                <w:sz w:val="22"/>
                <w:szCs w:val="22"/>
              </w:rPr>
              <w:t>科目编码</w:t>
            </w:r>
          </w:p>
        </w:tc>
        <w:tc>
          <w:tcPr>
            <w:tcW w:w="774"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1403"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年初结转和结余</w:t>
            </w:r>
          </w:p>
        </w:tc>
        <w:tc>
          <w:tcPr>
            <w:tcW w:w="1890"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本年收入</w:t>
            </w:r>
          </w:p>
        </w:tc>
        <w:tc>
          <w:tcPr>
            <w:tcW w:w="1845"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c>
          <w:tcPr>
            <w:tcW w:w="1813"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年末结转和结余</w:t>
            </w:r>
          </w:p>
        </w:tc>
      </w:tr>
      <w:tr>
        <w:tblPrEx>
          <w:tblCellMar>
            <w:top w:w="0" w:type="dxa"/>
            <w:left w:w="108" w:type="dxa"/>
            <w:bottom w:w="0" w:type="dxa"/>
            <w:right w:w="108" w:type="dxa"/>
          </w:tblCellMar>
        </w:tblPrEx>
        <w:trPr>
          <w:gridAfter w:val="1"/>
          <w:wAfter w:w="360" w:type="dxa"/>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9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55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45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c>
          <w:tcPr>
            <w:tcW w:w="72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6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70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75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39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70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480" w:type="dxa"/>
            <w:gridSpan w:val="3"/>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37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958"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r>
      <w:tr>
        <w:tblPrEx>
          <w:tblCellMar>
            <w:top w:w="0" w:type="dxa"/>
            <w:left w:w="108" w:type="dxa"/>
            <w:bottom w:w="0" w:type="dxa"/>
            <w:right w:w="108" w:type="dxa"/>
          </w:tblCellMar>
        </w:tblPrEx>
        <w:trPr>
          <w:gridAfter w:val="1"/>
          <w:wAfter w:w="360" w:type="dxa"/>
          <w:trHeight w:val="569"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9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55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5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2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6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0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5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9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0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80" w:type="dxa"/>
            <w:gridSpan w:val="3"/>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7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95"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w:t>
            </w:r>
          </w:p>
        </w:tc>
        <w:tc>
          <w:tcPr>
            <w:tcW w:w="463"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项目支出结余</w:t>
            </w:r>
          </w:p>
        </w:tc>
      </w:tr>
      <w:tr>
        <w:tblPrEx>
          <w:tblCellMar>
            <w:top w:w="0" w:type="dxa"/>
            <w:left w:w="108" w:type="dxa"/>
            <w:bottom w:w="0" w:type="dxa"/>
            <w:right w:w="108" w:type="dxa"/>
          </w:tblCellMar>
        </w:tblPrEx>
        <w:trPr>
          <w:gridAfter w:val="1"/>
          <w:wAfter w:w="360" w:type="dxa"/>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9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55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5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2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6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0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5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9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70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80" w:type="dxa"/>
            <w:gridSpan w:val="3"/>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37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9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c>
          <w:tcPr>
            <w:tcW w:w="46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r>
      <w:tr>
        <w:tblPrEx>
          <w:tblCellMar>
            <w:top w:w="0" w:type="dxa"/>
            <w:left w:w="108" w:type="dxa"/>
            <w:bottom w:w="0" w:type="dxa"/>
            <w:right w:w="108" w:type="dxa"/>
          </w:tblCellMar>
        </w:tblPrEx>
        <w:trPr>
          <w:gridAfter w:val="1"/>
          <w:wAfter w:w="360" w:type="dxa"/>
          <w:trHeight w:val="308" w:hRule="atLeast"/>
        </w:trPr>
        <w:tc>
          <w:tcPr>
            <w:tcW w:w="3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类</w:t>
            </w:r>
          </w:p>
        </w:tc>
        <w:tc>
          <w:tcPr>
            <w:tcW w:w="36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款</w:t>
            </w:r>
          </w:p>
        </w:tc>
        <w:tc>
          <w:tcPr>
            <w:tcW w:w="4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项</w:t>
            </w:r>
          </w:p>
        </w:tc>
        <w:tc>
          <w:tcPr>
            <w:tcW w:w="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栏次</w:t>
            </w:r>
          </w:p>
        </w:tc>
        <w:tc>
          <w:tcPr>
            <w:tcW w:w="39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1</w:t>
            </w:r>
          </w:p>
        </w:tc>
        <w:tc>
          <w:tcPr>
            <w:tcW w:w="55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2</w:t>
            </w:r>
          </w:p>
        </w:tc>
        <w:tc>
          <w:tcPr>
            <w:tcW w:w="4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3</w:t>
            </w:r>
          </w:p>
        </w:tc>
        <w:tc>
          <w:tcPr>
            <w:tcW w:w="72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4</w:t>
            </w:r>
          </w:p>
        </w:tc>
        <w:tc>
          <w:tcPr>
            <w:tcW w:w="4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5</w:t>
            </w:r>
          </w:p>
        </w:tc>
        <w:tc>
          <w:tcPr>
            <w:tcW w:w="70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6</w:t>
            </w:r>
          </w:p>
        </w:tc>
        <w:tc>
          <w:tcPr>
            <w:tcW w:w="7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7</w:t>
            </w:r>
          </w:p>
        </w:tc>
        <w:tc>
          <w:tcPr>
            <w:tcW w:w="3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8</w:t>
            </w:r>
          </w:p>
        </w:tc>
        <w:tc>
          <w:tcPr>
            <w:tcW w:w="70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9</w:t>
            </w:r>
          </w:p>
        </w:tc>
        <w:tc>
          <w:tcPr>
            <w:tcW w:w="480" w:type="dxa"/>
            <w:gridSpan w:val="3"/>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10</w:t>
            </w:r>
          </w:p>
        </w:tc>
        <w:tc>
          <w:tcPr>
            <w:tcW w:w="37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11</w:t>
            </w:r>
          </w:p>
        </w:tc>
        <w:tc>
          <w:tcPr>
            <w:tcW w:w="4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12</w:t>
            </w:r>
          </w:p>
        </w:tc>
        <w:tc>
          <w:tcPr>
            <w:tcW w:w="4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b/>
                <w:bCs/>
                <w:color w:val="000000"/>
                <w:kern w:val="0"/>
                <w:sz w:val="22"/>
                <w:szCs w:val="22"/>
              </w:rPr>
            </w:pPr>
            <w:r>
              <w:rPr>
                <w:rFonts w:hint="eastAsia" w:ascii="宋体" w:hAnsi="宋体" w:eastAsia="宋体" w:cs="宋体"/>
                <w:color w:val="000000"/>
                <w:kern w:val="0"/>
                <w:sz w:val="22"/>
                <w:szCs w:val="22"/>
              </w:rPr>
              <w:t>13</w:t>
            </w:r>
          </w:p>
        </w:tc>
      </w:tr>
      <w:tr>
        <w:tblPrEx>
          <w:tblCellMar>
            <w:top w:w="0" w:type="dxa"/>
            <w:left w:w="108" w:type="dxa"/>
            <w:bottom w:w="0" w:type="dxa"/>
            <w:right w:w="108" w:type="dxa"/>
          </w:tblCellMar>
        </w:tblPrEx>
        <w:trPr>
          <w:gridAfter w:val="1"/>
          <w:wAfter w:w="360" w:type="dxa"/>
          <w:trHeight w:val="290" w:hRule="atLeast"/>
        </w:trPr>
        <w:tc>
          <w:tcPr>
            <w:tcW w:w="37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宋体" w:hAnsi="宋体" w:eastAsia="宋体" w:cs="Arial"/>
                <w:color w:val="000000"/>
                <w:kern w:val="0"/>
                <w:sz w:val="22"/>
                <w:szCs w:val="22"/>
              </w:rPr>
            </w:pPr>
          </w:p>
        </w:tc>
        <w:tc>
          <w:tcPr>
            <w:tcW w:w="3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pPr>
          </w:p>
        </w:tc>
        <w:tc>
          <w:tcPr>
            <w:tcW w:w="40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pPr>
          </w:p>
        </w:tc>
        <w:tc>
          <w:tcPr>
            <w:tcW w:w="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合计</w:t>
            </w:r>
          </w:p>
        </w:tc>
        <w:tc>
          <w:tcPr>
            <w:tcW w:w="39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55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4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22"/>
                <w:szCs w:val="22"/>
              </w:rPr>
            </w:pPr>
            <w:r>
              <w:rPr>
                <w:rFonts w:hint="eastAsia" w:cs="Arial"/>
                <w:b/>
                <w:bCs/>
                <w:color w:val="000000"/>
                <w:sz w:val="22"/>
                <w:szCs w:val="22"/>
              </w:rPr>
              <w:t>　</w:t>
            </w:r>
          </w:p>
        </w:tc>
        <w:tc>
          <w:tcPr>
            <w:tcW w:w="72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515.24</w:t>
            </w:r>
          </w:p>
        </w:tc>
        <w:tc>
          <w:tcPr>
            <w:tcW w:w="4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　</w:t>
            </w:r>
          </w:p>
        </w:tc>
        <w:tc>
          <w:tcPr>
            <w:tcW w:w="70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515.24</w:t>
            </w:r>
          </w:p>
        </w:tc>
        <w:tc>
          <w:tcPr>
            <w:tcW w:w="7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515.24</w:t>
            </w:r>
          </w:p>
        </w:tc>
        <w:tc>
          <w:tcPr>
            <w:tcW w:w="3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　</w:t>
            </w:r>
          </w:p>
        </w:tc>
        <w:tc>
          <w:tcPr>
            <w:tcW w:w="70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b/>
                <w:bCs/>
                <w:color w:val="000000"/>
                <w:sz w:val="18"/>
                <w:szCs w:val="18"/>
              </w:rPr>
            </w:pPr>
            <w:r>
              <w:rPr>
                <w:rFonts w:hint="eastAsia" w:cs="Arial"/>
                <w:b/>
                <w:bCs/>
                <w:color w:val="000000"/>
                <w:sz w:val="18"/>
                <w:szCs w:val="18"/>
              </w:rPr>
              <w:t>515.24</w:t>
            </w:r>
          </w:p>
        </w:tc>
        <w:tc>
          <w:tcPr>
            <w:tcW w:w="480" w:type="dxa"/>
            <w:gridSpan w:val="3"/>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文化旅游体育与传媒支出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20707</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国家电影事业发展专项资金安排的支出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2070799</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其他国家电影事业发展专项资金支出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5.00</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抗疫特别国债安排的支出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23402</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抗疫相关支出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50" w:hRule="atLeast"/>
        </w:trPr>
        <w:tc>
          <w:tcPr>
            <w:tcW w:w="1135" w:type="dxa"/>
            <w:gridSpan w:val="3"/>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2340299</w:t>
            </w:r>
          </w:p>
        </w:tc>
        <w:tc>
          <w:tcPr>
            <w:tcW w:w="774"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ascii="宋体" w:hAnsi="宋体" w:eastAsia="宋体" w:cs="Arial"/>
                <w:color w:val="000000"/>
                <w:sz w:val="22"/>
                <w:szCs w:val="22"/>
              </w:rPr>
            </w:pPr>
            <w:r>
              <w:rPr>
                <w:rFonts w:hint="eastAsia" w:cs="Arial"/>
                <w:color w:val="000000"/>
                <w:sz w:val="22"/>
                <w:szCs w:val="22"/>
              </w:rPr>
              <w:t xml:space="preserve">  其他抗疫相关支出</w:t>
            </w:r>
          </w:p>
        </w:tc>
        <w:tc>
          <w:tcPr>
            <w:tcW w:w="39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55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4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22"/>
                <w:szCs w:val="22"/>
              </w:rPr>
            </w:pPr>
            <w:r>
              <w:rPr>
                <w:rFonts w:hint="eastAsia" w:cs="Arial"/>
                <w:color w:val="000000"/>
                <w:sz w:val="22"/>
                <w:szCs w:val="22"/>
              </w:rPr>
              <w:t>　</w:t>
            </w:r>
          </w:p>
        </w:tc>
        <w:tc>
          <w:tcPr>
            <w:tcW w:w="72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6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75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390"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　</w:t>
            </w:r>
          </w:p>
        </w:tc>
        <w:tc>
          <w:tcPr>
            <w:tcW w:w="70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sz w:val="18"/>
                <w:szCs w:val="18"/>
              </w:rPr>
            </w:pPr>
            <w:r>
              <w:rPr>
                <w:rFonts w:hint="eastAsia" w:cs="Arial"/>
                <w:color w:val="000000"/>
                <w:sz w:val="18"/>
                <w:szCs w:val="18"/>
              </w:rPr>
              <w:t>510.24</w:t>
            </w:r>
          </w:p>
        </w:tc>
        <w:tc>
          <w:tcPr>
            <w:tcW w:w="480"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37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c>
          <w:tcPr>
            <w:tcW w:w="46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gridAfter w:val="1"/>
          <w:wAfter w:w="360" w:type="dxa"/>
          <w:trHeight w:val="595" w:hRule="atLeast"/>
        </w:trPr>
        <w:tc>
          <w:tcPr>
            <w:tcW w:w="8860" w:type="dxa"/>
            <w:gridSpan w:val="19"/>
            <w:tcBorders>
              <w:top w:val="single" w:color="auto" w:sz="4" w:space="0"/>
              <w:left w:val="nil"/>
              <w:bottom w:val="nil"/>
              <w:right w:val="nil"/>
            </w:tcBorders>
            <w:vAlign w:val="center"/>
          </w:tcPr>
          <w:p>
            <w:pPr>
              <w:keepNext w:val="0"/>
              <w:keepLines w:val="0"/>
              <w:pageBreakBefore w:val="0"/>
              <w:widowControl/>
              <w:tabs>
                <w:tab w:val="left" w:pos="885"/>
              </w:tabs>
              <w:kinsoku/>
              <w:wordWrap/>
              <w:overflowPunct/>
              <w:topLinePunct w:val="0"/>
              <w:autoSpaceDE/>
              <w:autoSpaceDN/>
              <w:bidi w:val="0"/>
              <w:adjustRightInd/>
              <w:snapToGrid/>
              <w:spacing w:line="340" w:lineRule="exact"/>
              <w:jc w:val="left"/>
              <w:rPr>
                <w:rFonts w:ascii="宋体" w:hAnsi="宋体" w:eastAsia="宋体" w:cs="Arial"/>
                <w:kern w:val="0"/>
                <w:sz w:val="22"/>
                <w:szCs w:val="22"/>
              </w:rPr>
            </w:pPr>
            <w:r>
              <w:rPr>
                <w:rFonts w:hint="eastAsia" w:ascii="宋体" w:hAnsi="宋体" w:eastAsia="宋体" w:cs="Arial"/>
                <w:color w:val="000000"/>
                <w:kern w:val="0"/>
                <w:sz w:val="22"/>
                <w:szCs w:val="22"/>
              </w:rPr>
              <w:t>注：本表反</w:t>
            </w:r>
            <w:r>
              <w:rPr>
                <w:rFonts w:hint="eastAsia" w:ascii="宋体" w:hAnsi="宋体" w:eastAsia="宋体" w:cs="Arial"/>
                <w:kern w:val="0"/>
                <w:sz w:val="22"/>
                <w:szCs w:val="22"/>
              </w:rPr>
              <w:t>映部门本年度政府性基金预算财政拨款收入、支出及结转和结余情况。</w:t>
            </w:r>
          </w:p>
          <w:p>
            <w:pPr>
              <w:keepNext w:val="0"/>
              <w:keepLines w:val="0"/>
              <w:pageBreakBefore w:val="0"/>
              <w:widowControl/>
              <w:tabs>
                <w:tab w:val="left" w:pos="885"/>
              </w:tabs>
              <w:kinsoku/>
              <w:wordWrap/>
              <w:overflowPunct/>
              <w:topLinePunct w:val="0"/>
              <w:autoSpaceDE/>
              <w:autoSpaceDN/>
              <w:bidi w:val="0"/>
              <w:adjustRightInd/>
              <w:snapToGrid/>
              <w:spacing w:line="340" w:lineRule="exact"/>
              <w:jc w:val="left"/>
              <w:rPr>
                <w:rFonts w:ascii="宋体" w:hAnsi="宋体" w:eastAsia="宋体" w:cs="Arial"/>
                <w:color w:val="000000"/>
                <w:kern w:val="0"/>
                <w:sz w:val="22"/>
                <w:szCs w:val="22"/>
              </w:rPr>
            </w:pPr>
          </w:p>
        </w:tc>
      </w:tr>
    </w:tbl>
    <w:p>
      <w:pPr>
        <w:jc w:val="center"/>
        <w:rPr>
          <w:rFonts w:ascii="黑体" w:hAnsi="黑体" w:eastAsia="黑体"/>
          <w:szCs w:val="32"/>
        </w:rPr>
      </w:pPr>
      <w:r>
        <w:rPr>
          <w:rFonts w:hint="eastAsia" w:ascii="黑体" w:hAnsi="黑体" w:eastAsia="黑体"/>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vAlign w:val="bottom"/>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单位：黄山市文化和旅游局（本级）                                金额单位：万元</w:t>
            </w:r>
          </w:p>
        </w:tc>
      </w:tr>
      <w:tr>
        <w:tblPrEx>
          <w:tblCellMar>
            <w:top w:w="15" w:type="dxa"/>
            <w:left w:w="108" w:type="dxa"/>
            <w:bottom w:w="15" w:type="dxa"/>
            <w:right w:w="108" w:type="dxa"/>
          </w:tblCellMar>
        </w:tblPrEx>
        <w:trPr>
          <w:trHeight w:val="35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功能分类</w:t>
            </w:r>
          </w:p>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科目编码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r>
      <w:tr>
        <w:tblPrEx>
          <w:tblCellMar>
            <w:top w:w="15" w:type="dxa"/>
            <w:left w:w="108" w:type="dxa"/>
            <w:bottom w:w="15" w:type="dxa"/>
            <w:right w:w="108" w:type="dxa"/>
          </w:tblCellMar>
        </w:tblPrEx>
        <w:trPr>
          <w:trHeight w:val="569"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r>
      <w:tr>
        <w:tblPrEx>
          <w:tblCellMar>
            <w:top w:w="15" w:type="dxa"/>
            <w:left w:w="108" w:type="dxa"/>
            <w:bottom w:w="15" w:type="dxa"/>
            <w:right w:w="108" w:type="dxa"/>
          </w:tblCellMar>
        </w:tblPrEx>
        <w:trPr>
          <w:trHeight w:val="569"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r>
      <w:tr>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r>
      <w:tr>
        <w:tblPrEx>
          <w:tblCellMar>
            <w:top w:w="15" w:type="dxa"/>
            <w:left w:w="108" w:type="dxa"/>
            <w:bottom w:w="15" w:type="dxa"/>
            <w:right w:w="108" w:type="dxa"/>
          </w:tblCellMar>
        </w:tblPrEx>
        <w:trPr>
          <w:trHeight w:val="397" w:hRule="atLeast"/>
        </w:trPr>
        <w:tc>
          <w:tcPr>
            <w:tcW w:w="5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类</w:t>
            </w:r>
          </w:p>
        </w:tc>
        <w:tc>
          <w:tcPr>
            <w:tcW w:w="5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款</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栏次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w:t>
            </w: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w:t>
            </w:r>
          </w:p>
        </w:tc>
      </w:tr>
      <w:tr>
        <w:tblPrEx>
          <w:tblCellMar>
            <w:top w:w="15" w:type="dxa"/>
            <w:left w:w="108" w:type="dxa"/>
            <w:bottom w:w="15" w:type="dxa"/>
            <w:right w:w="108" w:type="dxa"/>
          </w:tblCellMar>
        </w:tblPrEx>
        <w:trPr>
          <w:trHeight w:val="270" w:hRule="atLeast"/>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r>
      <w:tr>
        <w:tblPrEx>
          <w:tblCellMar>
            <w:top w:w="15" w:type="dxa"/>
            <w:left w:w="108" w:type="dxa"/>
            <w:bottom w:w="15" w:type="dxa"/>
            <w:right w:w="108" w:type="dxa"/>
          </w:tblCellMar>
        </w:tblPrEx>
        <w:trPr>
          <w:trHeight w:val="557"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r>
      <w:tr>
        <w:tblPrEx>
          <w:tblCellMar>
            <w:top w:w="15" w:type="dxa"/>
            <w:left w:w="108" w:type="dxa"/>
            <w:bottom w:w="15" w:type="dxa"/>
            <w:right w:w="108" w:type="dxa"/>
          </w:tblCellMar>
        </w:tblPrEx>
        <w:trPr>
          <w:trHeight w:val="688"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szCs w:val="22"/>
              </w:rPr>
            </w:pPr>
          </w:p>
        </w:tc>
      </w:tr>
      <w:tr>
        <w:tblPrEx>
          <w:tblCellMar>
            <w:top w:w="15" w:type="dxa"/>
            <w:left w:w="108" w:type="dxa"/>
            <w:bottom w:w="15" w:type="dxa"/>
            <w:right w:w="108" w:type="dxa"/>
          </w:tblCellMar>
        </w:tblPrEx>
        <w:trPr>
          <w:trHeight w:val="598" w:hRule="atLeast"/>
        </w:trPr>
        <w:tc>
          <w:tcPr>
            <w:tcW w:w="8779" w:type="dxa"/>
            <w:gridSpan w:val="7"/>
            <w:tcBorders>
              <w:top w:val="single" w:color="auto" w:sz="4" w:space="0"/>
              <w:left w:val="nil"/>
              <w:bottom w:val="nil"/>
              <w:right w:val="nil"/>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注：本表反映单位本年度国有资本经营预算财政拨款支出情况。</w:t>
            </w:r>
          </w:p>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黄山市文化和旅游局（本级）没有国有资本经营预算财政拨款安排的支出，故本表无数据。</w:t>
            </w:r>
          </w:p>
        </w:tc>
      </w:tr>
    </w:tbl>
    <w:p>
      <w:pPr>
        <w:rPr>
          <w:rFonts w:ascii="黑体" w:hAnsi="黑体" w:eastAsia="黑体"/>
          <w:sz w:val="20"/>
        </w:rPr>
      </w:pPr>
    </w:p>
    <w:p>
      <w:pPr>
        <w:ind w:firstLine="628" w:firstLineChars="200"/>
        <w:outlineLvl w:val="0"/>
        <w:rPr>
          <w:rFonts w:ascii="黑体" w:hAnsi="黑体" w:eastAsia="黑体"/>
          <w:szCs w:val="32"/>
        </w:rPr>
      </w:pPr>
      <w:r>
        <w:rPr>
          <w:rFonts w:hint="eastAsia" w:ascii="黑体" w:hAnsi="黑体" w:eastAsia="黑体"/>
          <w:szCs w:val="32"/>
        </w:rPr>
        <w:t>第三部分 黄山市文化和旅游局（本级）2021年度单位决算情况说明</w:t>
      </w:r>
    </w:p>
    <w:p>
      <w:pPr>
        <w:ind w:firstLine="628" w:firstLineChars="200"/>
        <w:outlineLvl w:val="1"/>
        <w:rPr>
          <w:rFonts w:ascii="黑体" w:hAnsi="黑体" w:eastAsia="黑体"/>
          <w:szCs w:val="32"/>
        </w:rPr>
      </w:pPr>
      <w:r>
        <w:rPr>
          <w:rFonts w:hint="eastAsia" w:ascii="黑体" w:hAnsi="黑体" w:eastAsia="黑体"/>
          <w:szCs w:val="32"/>
        </w:rPr>
        <w:t>一、收入支出决算总体情况说明</w:t>
      </w:r>
    </w:p>
    <w:p>
      <w:pPr>
        <w:ind w:firstLine="628" w:firstLineChars="200"/>
        <w:rPr>
          <w:rFonts w:hint="eastAsia" w:ascii="仿宋_GB2312" w:hAnsi="仿宋"/>
          <w:szCs w:val="32"/>
        </w:rPr>
      </w:pPr>
      <w:r>
        <w:rPr>
          <w:rFonts w:hint="eastAsia" w:ascii="仿宋_GB2312" w:hAnsi="仿宋"/>
          <w:szCs w:val="32"/>
        </w:rPr>
        <w:t>2021年度收入总计8557.83万元（含使用非财政拨款结转结余、年初结转和结余）、支出总计8557.83万元（含结余分配、年末结转和结余）。与2020年相比，收、支总计各增加119.93万元，增长1.42%，主要原因是追加的调整工资、考核奖、退休人员慰问金等人员经费。</w:t>
      </w:r>
    </w:p>
    <w:p>
      <w:pPr>
        <w:ind w:firstLine="628" w:firstLineChars="200"/>
        <w:rPr>
          <w:rFonts w:ascii="黑体" w:hAnsi="仿宋" w:eastAsia="黑体"/>
          <w:szCs w:val="32"/>
        </w:rPr>
      </w:pPr>
      <w:r>
        <w:rPr>
          <w:rFonts w:hint="eastAsia" w:ascii="黑体" w:hAnsi="仿宋" w:eastAsia="黑体"/>
          <w:szCs w:val="32"/>
        </w:rPr>
        <w:t>二、收入决算情况说明</w:t>
      </w:r>
    </w:p>
    <w:p>
      <w:pPr>
        <w:ind w:firstLine="628" w:firstLineChars="200"/>
        <w:rPr>
          <w:rFonts w:ascii="仿宋_GB2312" w:hAnsi="仿宋"/>
          <w:szCs w:val="32"/>
        </w:rPr>
      </w:pPr>
      <w:r>
        <w:rPr>
          <w:rFonts w:hint="eastAsia" w:ascii="仿宋_GB2312" w:hAnsi="仿宋"/>
          <w:szCs w:val="32"/>
        </w:rPr>
        <w:t>2021年度收入合计7036.5万元，其中：财政拨款收入6508.21万元，占92.49%；事业收入0万元，占0%；经营收入0万元，占0%；其他收入528.29万元，占7.51%。</w:t>
      </w:r>
    </w:p>
    <w:p>
      <w:pPr>
        <w:ind w:firstLine="628" w:firstLineChars="200"/>
        <w:outlineLvl w:val="1"/>
        <w:rPr>
          <w:rFonts w:ascii="黑体" w:hAnsi="仿宋" w:eastAsia="黑体"/>
          <w:szCs w:val="32"/>
        </w:rPr>
      </w:pPr>
      <w:r>
        <w:rPr>
          <w:rFonts w:hint="eastAsia" w:ascii="黑体" w:hAnsi="仿宋" w:eastAsia="黑体"/>
          <w:szCs w:val="32"/>
        </w:rPr>
        <w:t>三、支出决算情况说明</w:t>
      </w:r>
    </w:p>
    <w:p>
      <w:pPr>
        <w:ind w:firstLine="628" w:firstLineChars="200"/>
        <w:rPr>
          <w:rFonts w:ascii="仿宋_GB2312" w:hAnsi="仿宋"/>
          <w:szCs w:val="32"/>
        </w:rPr>
      </w:pPr>
      <w:r>
        <w:rPr>
          <w:rFonts w:hint="eastAsia" w:ascii="仿宋_GB2312" w:hAnsi="仿宋"/>
          <w:szCs w:val="32"/>
        </w:rPr>
        <w:t>2021年度支出合计8153.84万元，其中：基本支出902.75万元，占11.07%；项目支出7251.1万元，占88.93%；经营支出0万元，占0%。</w:t>
      </w:r>
    </w:p>
    <w:p>
      <w:pPr>
        <w:ind w:firstLine="628" w:firstLineChars="200"/>
        <w:outlineLvl w:val="1"/>
        <w:rPr>
          <w:rFonts w:ascii="黑体" w:hAnsi="黑体" w:eastAsia="黑体" w:cs="黑体"/>
          <w:bCs/>
          <w:szCs w:val="32"/>
        </w:rPr>
      </w:pPr>
      <w:r>
        <w:rPr>
          <w:rFonts w:hint="eastAsia" w:ascii="黑体" w:hAnsi="黑体" w:eastAsia="黑体" w:cs="黑体"/>
          <w:bCs/>
          <w:szCs w:val="32"/>
        </w:rPr>
        <w:t>四、财政拨款收入支出决算总体情况说明</w:t>
      </w:r>
    </w:p>
    <w:p>
      <w:pPr>
        <w:ind w:firstLine="628" w:firstLineChars="200"/>
        <w:rPr>
          <w:rFonts w:ascii="仿宋_GB2312" w:hAnsi="仿宋"/>
          <w:szCs w:val="32"/>
        </w:rPr>
      </w:pPr>
      <w:r>
        <w:rPr>
          <w:rFonts w:hint="eastAsia" w:ascii="仿宋_GB2312" w:hAnsi="仿宋_GB2312" w:cs="仿宋_GB2312"/>
          <w:bCs/>
          <w:szCs w:val="32"/>
        </w:rPr>
        <w:t>2021年度财政拨款收入</w:t>
      </w:r>
      <w:r>
        <w:rPr>
          <w:rFonts w:hint="eastAsia" w:ascii="仿宋_GB2312" w:hAnsi="仿宋"/>
          <w:szCs w:val="32"/>
        </w:rPr>
        <w:t>总计7785.93万元（含年初财政拨款结转和结余），支出总计7785.93万元（含年末财政拨款结转和结余）。与2020年相比，财政拨款收、支总计各减少121.73万元，下降1.54%，主要原因是旅游市场开拓培育补助资金、徽州古建筑保护利用工程、非物质文化遗产保护专项资金等项目未完成结转下年支付。</w:t>
      </w:r>
    </w:p>
    <w:p>
      <w:pPr>
        <w:ind w:firstLine="628" w:firstLineChars="200"/>
        <w:rPr>
          <w:rFonts w:ascii="黑体" w:hAnsi="仿宋" w:eastAsia="黑体"/>
          <w:szCs w:val="32"/>
        </w:rPr>
      </w:pPr>
      <w:r>
        <w:rPr>
          <w:rFonts w:hint="eastAsia" w:ascii="黑体" w:hAnsi="仿宋" w:eastAsia="黑体"/>
          <w:szCs w:val="32"/>
        </w:rPr>
        <w:t>五、一般公共预算财政拨款支出决算情况说明</w:t>
      </w:r>
    </w:p>
    <w:p>
      <w:pPr>
        <w:ind w:firstLine="628" w:firstLineChars="200"/>
        <w:rPr>
          <w:rFonts w:ascii="仿宋_GB2312" w:hAnsi="仿宋"/>
          <w:b/>
          <w:bCs/>
          <w:szCs w:val="32"/>
        </w:rPr>
      </w:pPr>
      <w:r>
        <w:rPr>
          <w:rFonts w:hint="eastAsia" w:ascii="仿宋_GB2312" w:hAnsi="仿宋"/>
          <w:b/>
          <w:bCs/>
          <w:szCs w:val="32"/>
        </w:rPr>
        <w:t>（一）一般公共预算财政拨款支出决算总体情况。</w:t>
      </w:r>
    </w:p>
    <w:p>
      <w:pPr>
        <w:ind w:firstLine="628" w:firstLineChars="200"/>
        <w:rPr>
          <w:rFonts w:ascii="仿宋_GB2312" w:hAnsi="仿宋"/>
          <w:szCs w:val="32"/>
        </w:rPr>
      </w:pPr>
      <w:r>
        <w:rPr>
          <w:rFonts w:hint="eastAsia" w:ascii="仿宋_GB2312" w:hAnsi="仿宋"/>
          <w:szCs w:val="32"/>
        </w:rPr>
        <w:t>2021年度一般公共预算财政拨款支出6930.59万元，占本年支出的80.99%。与2020年相比，一般公共预算财政拨款支出增加830.81万元，增长13.62%。主要原因：一是追加的调整工资、考核奖、退休人员慰问金等人员经费 ；二是增加旅游市场开拓培育补助资金、非物质文化遗产保护专项资金等转移支付项目。</w:t>
      </w:r>
    </w:p>
    <w:p>
      <w:pPr>
        <w:ind w:firstLine="628" w:firstLineChars="200"/>
        <w:rPr>
          <w:rFonts w:ascii="仿宋_GB2312" w:hAnsi="仿宋"/>
          <w:b/>
          <w:szCs w:val="32"/>
        </w:rPr>
      </w:pPr>
      <w:r>
        <w:rPr>
          <w:rFonts w:hint="eastAsia" w:ascii="仿宋_GB2312" w:hAnsi="仿宋"/>
          <w:b/>
          <w:szCs w:val="32"/>
        </w:rPr>
        <w:t>（二）一般公共预算财政拨款支出决算结构情况。</w:t>
      </w:r>
    </w:p>
    <w:p>
      <w:pPr>
        <w:ind w:firstLine="628" w:firstLineChars="200"/>
        <w:rPr>
          <w:rFonts w:ascii="仿宋_GB2312" w:hAnsi="仿宋"/>
          <w:szCs w:val="32"/>
        </w:rPr>
      </w:pPr>
      <w:r>
        <w:rPr>
          <w:rFonts w:hint="eastAsia" w:ascii="仿宋_GB2312" w:hAnsi="仿宋"/>
          <w:szCs w:val="32"/>
        </w:rPr>
        <w:t>2021年度一般公共预算财政拨款支出6930.59万元，主要用于以下方面：</w:t>
      </w:r>
      <w:r>
        <w:rPr>
          <w:rFonts w:hint="eastAsia" w:ascii="仿宋_GB2312" w:hAnsi="仿宋"/>
          <w:b/>
          <w:szCs w:val="32"/>
        </w:rPr>
        <w:t>一般公共服务（类）</w:t>
      </w:r>
      <w:r>
        <w:rPr>
          <w:rFonts w:hint="eastAsia" w:ascii="仿宋_GB2312" w:hAnsi="仿宋"/>
          <w:szCs w:val="32"/>
        </w:rPr>
        <w:t>支出3.9万元，占0.06%;</w:t>
      </w:r>
      <w:r>
        <w:rPr>
          <w:rFonts w:hint="eastAsia" w:ascii="仿宋_GB2312" w:hAnsi="仿宋"/>
          <w:b/>
          <w:szCs w:val="32"/>
        </w:rPr>
        <w:t>文化旅游体育与传媒（类）</w:t>
      </w:r>
      <w:r>
        <w:rPr>
          <w:rFonts w:hint="eastAsia" w:ascii="仿宋_GB2312" w:hAnsi="仿宋"/>
          <w:szCs w:val="32"/>
        </w:rPr>
        <w:t>支出6654.7万元，96.02%；</w:t>
      </w:r>
      <w:r>
        <w:rPr>
          <w:rFonts w:hint="eastAsia" w:ascii="仿宋_GB2312" w:hAnsi="仿宋"/>
          <w:b/>
          <w:szCs w:val="32"/>
        </w:rPr>
        <w:t>社会保障和就业（类）</w:t>
      </w:r>
      <w:r>
        <w:rPr>
          <w:rFonts w:hint="eastAsia" w:ascii="仿宋_GB2312" w:hAnsi="仿宋"/>
          <w:szCs w:val="32"/>
        </w:rPr>
        <w:t>支出138.4万元，占2%；</w:t>
      </w:r>
      <w:r>
        <w:rPr>
          <w:rFonts w:hint="eastAsia" w:ascii="仿宋_GB2312" w:hAnsi="仿宋"/>
          <w:b/>
          <w:szCs w:val="32"/>
        </w:rPr>
        <w:t>卫生健康（类）</w:t>
      </w:r>
      <w:r>
        <w:rPr>
          <w:rFonts w:hint="eastAsia" w:ascii="仿宋_GB2312" w:hAnsi="仿宋"/>
          <w:szCs w:val="32"/>
        </w:rPr>
        <w:t>支出35.2万元，占0.51%；</w:t>
      </w:r>
      <w:r>
        <w:rPr>
          <w:rFonts w:hint="eastAsia" w:ascii="仿宋_GB2312" w:hAnsi="仿宋"/>
          <w:b/>
          <w:szCs w:val="32"/>
        </w:rPr>
        <w:t>农林水（类）</w:t>
      </w:r>
      <w:r>
        <w:rPr>
          <w:rFonts w:hint="eastAsia" w:ascii="仿宋_GB2312" w:hAnsi="仿宋"/>
          <w:szCs w:val="32"/>
        </w:rPr>
        <w:t>支出5.51万元，占0.08%；</w:t>
      </w:r>
      <w:r>
        <w:rPr>
          <w:rFonts w:hint="eastAsia" w:ascii="仿宋_GB2312" w:hAnsi="仿宋"/>
          <w:b/>
          <w:szCs w:val="32"/>
        </w:rPr>
        <w:t>住房保障（类）</w:t>
      </w:r>
      <w:r>
        <w:rPr>
          <w:rFonts w:hint="eastAsia" w:ascii="仿宋_GB2312" w:hAnsi="仿宋"/>
          <w:szCs w:val="32"/>
        </w:rPr>
        <w:t>支出92.88万元，占1.34%。</w:t>
      </w:r>
    </w:p>
    <w:p>
      <w:pPr>
        <w:ind w:firstLine="628" w:firstLineChars="200"/>
        <w:rPr>
          <w:rFonts w:ascii="仿宋_GB2312" w:hAnsi="仿宋"/>
          <w:b/>
          <w:bCs/>
          <w:szCs w:val="32"/>
        </w:rPr>
      </w:pPr>
      <w:r>
        <w:rPr>
          <w:rFonts w:hint="eastAsia" w:ascii="仿宋_GB2312" w:hAnsi="仿宋"/>
          <w:b/>
          <w:bCs/>
          <w:szCs w:val="32"/>
        </w:rPr>
        <w:t>（三）一般公共预算财政拨款支出决算具体情况。</w:t>
      </w:r>
    </w:p>
    <w:p>
      <w:pPr>
        <w:ind w:firstLine="628" w:firstLineChars="200"/>
        <w:rPr>
          <w:rFonts w:ascii="仿宋_GB2312" w:hAnsi="仿宋"/>
          <w:szCs w:val="32"/>
        </w:rPr>
      </w:pPr>
      <w:r>
        <w:rPr>
          <w:rFonts w:hint="eastAsia" w:ascii="仿宋_GB2312" w:hAnsi="仿宋"/>
          <w:szCs w:val="32"/>
        </w:rPr>
        <w:t>2021年度一般公共预算财政拨款支出年初预算为5668.51万元，支出决算为6930.59万元，完成年初预算的122.26%。决算数大于预算数的主要原因: 一是追加的调整工资、考核奖、退休人员慰问金等人员经费 ；二是增加旅游市场开拓培育补助资金、非物质文化遗产保护专项资金等转移支付项目。其中:基本支出902.75万元，占13.03%；项目支出6027.84万元，占86.97%。具体情况如下：</w:t>
      </w:r>
    </w:p>
    <w:p>
      <w:pPr>
        <w:ind w:firstLine="628" w:firstLineChars="200"/>
        <w:rPr>
          <w:rFonts w:ascii="仿宋_GB2312" w:hAnsi="仿宋"/>
          <w:szCs w:val="32"/>
        </w:rPr>
      </w:pPr>
      <w:r>
        <w:rPr>
          <w:rFonts w:hint="eastAsia" w:ascii="仿宋_GB2312" w:hAnsi="仿宋"/>
          <w:szCs w:val="32"/>
        </w:rPr>
        <w:t>1.</w:t>
      </w:r>
      <w:r>
        <w:rPr>
          <w:rFonts w:hint="eastAsia" w:ascii="仿宋_GB2312" w:hAnsi="仿宋"/>
          <w:b/>
          <w:szCs w:val="32"/>
        </w:rPr>
        <w:t>一般公共服务（类）其他共产党事务支出（款）其他共产党事务支出（项）</w:t>
      </w:r>
      <w:r>
        <w:rPr>
          <w:rFonts w:hint="eastAsia" w:ascii="仿宋_GB2312" w:hAnsi="仿宋"/>
          <w:szCs w:val="32"/>
        </w:rPr>
        <w:t>。年初预算为3.9万元，支出决算为3.9万元，完成年初预算的100%。</w:t>
      </w:r>
    </w:p>
    <w:p>
      <w:pPr>
        <w:ind w:firstLine="628" w:firstLineChars="200"/>
        <w:rPr>
          <w:rFonts w:hint="eastAsia" w:ascii="仿宋_GB2312" w:hAnsi="仿宋"/>
          <w:b/>
          <w:szCs w:val="32"/>
        </w:rPr>
      </w:pPr>
      <w:r>
        <w:rPr>
          <w:rFonts w:hint="eastAsia" w:ascii="仿宋_GB2312" w:hAnsi="仿宋"/>
          <w:szCs w:val="32"/>
        </w:rPr>
        <w:t>2.</w:t>
      </w:r>
      <w:r>
        <w:rPr>
          <w:rFonts w:hint="eastAsia" w:ascii="仿宋_GB2312" w:hAnsi="仿宋"/>
          <w:b/>
          <w:szCs w:val="32"/>
        </w:rPr>
        <w:t>文化旅游体育与传媒（类）文化和旅游（款）行政运行（项）</w:t>
      </w:r>
      <w:r>
        <w:rPr>
          <w:rFonts w:hint="eastAsia" w:ascii="仿宋_GB2312" w:hAnsi="仿宋"/>
          <w:b/>
          <w:color w:val="000000"/>
          <w:szCs w:val="32"/>
        </w:rPr>
        <w:t>。</w:t>
      </w:r>
      <w:r>
        <w:rPr>
          <w:rFonts w:hint="eastAsia" w:ascii="仿宋_GB2312" w:hAnsi="仿宋"/>
          <w:szCs w:val="32"/>
        </w:rPr>
        <w:t>年初预算为604.02万元，支出决算为632.37万元，完成年初预算的104.69%，决算数大于预算数的主要原因是调整工资、考核奖等人员经费。</w:t>
      </w:r>
      <w:r>
        <w:rPr>
          <w:rFonts w:hint="eastAsia" w:ascii="仿宋_GB2312" w:hAnsi="仿宋"/>
          <w:b/>
          <w:szCs w:val="32"/>
        </w:rPr>
        <w:t xml:space="preserve"> </w:t>
      </w:r>
    </w:p>
    <w:p>
      <w:pPr>
        <w:ind w:firstLine="628" w:firstLineChars="200"/>
        <w:rPr>
          <w:rFonts w:ascii="仿宋_GB2312" w:hAnsi="仿宋"/>
          <w:szCs w:val="32"/>
        </w:rPr>
      </w:pPr>
      <w:r>
        <w:rPr>
          <w:rFonts w:hint="eastAsia" w:ascii="仿宋_GB2312" w:hAnsi="仿宋"/>
          <w:b/>
          <w:szCs w:val="32"/>
        </w:rPr>
        <w:t>3.文化旅游体育与传媒（类）文化和旅游（款）一般行政管理事务（项）</w:t>
      </w:r>
      <w:r>
        <w:rPr>
          <w:rFonts w:hint="eastAsia" w:ascii="仿宋_GB2312" w:hAnsi="仿宋"/>
          <w:szCs w:val="32"/>
        </w:rPr>
        <w:t>。年初预算为350万元，支出决算为345.71万元，完成年初预算的98.77%，决算数小于预算数的主要原因是第五届中国非物质文化遗产传统技艺大展项目财政少拨付4.29万元。</w:t>
      </w:r>
    </w:p>
    <w:p>
      <w:pPr>
        <w:ind w:firstLine="628" w:firstLineChars="200"/>
        <w:rPr>
          <w:rFonts w:ascii="仿宋_GB2312" w:hAnsi="仿宋"/>
          <w:szCs w:val="32"/>
        </w:rPr>
      </w:pPr>
      <w:r>
        <w:rPr>
          <w:rFonts w:hint="eastAsia" w:ascii="仿宋_GB2312" w:hAnsi="仿宋"/>
          <w:szCs w:val="32"/>
        </w:rPr>
        <w:t>3.</w:t>
      </w:r>
      <w:r>
        <w:rPr>
          <w:rFonts w:hint="eastAsia" w:ascii="仿宋_GB2312" w:hAnsi="仿宋"/>
          <w:b/>
          <w:szCs w:val="32"/>
        </w:rPr>
        <w:t>文化旅游体育与传媒（类）文化和旅游（款）艺术表演团体（项）。</w:t>
      </w:r>
      <w:r>
        <w:rPr>
          <w:rFonts w:hint="eastAsia" w:ascii="仿宋_GB2312" w:hAnsi="仿宋"/>
          <w:szCs w:val="32"/>
        </w:rPr>
        <w:t>年初预算为120万元，支出决算为9万元，完成年初预算的7.5%，决算数小于预算数的主要原因是徽剧小剧场惠民演出经费和公益性演出场次补贴经费项目由财政直接支付。</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文化旅游体育与传媒（类）文化和旅游（款）文化创作与保护（项）</w:t>
      </w:r>
      <w:r>
        <w:rPr>
          <w:rFonts w:hint="eastAsia" w:ascii="仿宋_GB2312" w:hAnsi="仿宋"/>
          <w:b/>
          <w:color w:val="000000"/>
          <w:szCs w:val="32"/>
        </w:rPr>
        <w:t>。</w:t>
      </w:r>
      <w:r>
        <w:rPr>
          <w:rFonts w:hint="eastAsia" w:ascii="仿宋_GB2312" w:hAnsi="仿宋"/>
          <w:szCs w:val="32"/>
        </w:rPr>
        <w:t>年初预算为615万元，支出决算为2125.74万元，决算数大于预算数的主要原因是增加的上级转移支付项目非物质文化遗产保护专项资金、省级非物质文化遗产传承人补助资金和省级公共文化服务体系建设资金。</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文化旅游体育与传媒（类）文化和旅游（款）旅游宣传（项）</w:t>
      </w:r>
      <w:r>
        <w:rPr>
          <w:rFonts w:hint="eastAsia" w:ascii="仿宋_GB2312" w:hAnsi="仿宋"/>
          <w:b/>
          <w:color w:val="000000"/>
          <w:szCs w:val="32"/>
        </w:rPr>
        <w:t>。</w:t>
      </w:r>
      <w:r>
        <w:rPr>
          <w:rFonts w:hint="eastAsia" w:ascii="仿宋_GB2312" w:hAnsi="仿宋"/>
          <w:szCs w:val="32"/>
        </w:rPr>
        <w:t>年初预算为0万元，支出决算为260.43万元，决算数大于预算数的主要原因是增加的上级追加的转移支付项目旅游市场开拓培育补助资金。</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文化旅游体育与传媒（类）文化和旅游（款）其他文化和旅游支出（项）</w:t>
      </w:r>
      <w:r>
        <w:rPr>
          <w:rFonts w:hint="eastAsia" w:ascii="仿宋_GB2312" w:hAnsi="仿宋"/>
          <w:b/>
          <w:color w:val="000000"/>
          <w:szCs w:val="32"/>
        </w:rPr>
        <w:t>。</w:t>
      </w:r>
      <w:r>
        <w:rPr>
          <w:rFonts w:hint="eastAsia" w:ascii="仿宋_GB2312" w:hAnsi="仿宋"/>
          <w:szCs w:val="32"/>
        </w:rPr>
        <w:t>年初预算为3795万元，支出决算为3197.41万元，完成年初预算的84.25%，决算数小于预算数的主要原因：一是文化产业资金财政直接拨付到市宣传部；二是包机奖励项目经费未支付。</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文化旅游体育与传媒（类）文物（款）文物保护（项）</w:t>
      </w:r>
      <w:r>
        <w:rPr>
          <w:rFonts w:hint="eastAsia" w:ascii="仿宋_GB2312" w:hAnsi="仿宋"/>
          <w:b/>
          <w:color w:val="000000"/>
          <w:szCs w:val="32"/>
        </w:rPr>
        <w:t>。</w:t>
      </w:r>
      <w:r>
        <w:rPr>
          <w:rFonts w:hint="eastAsia" w:ascii="仿宋_GB2312" w:hAnsi="仿宋"/>
          <w:szCs w:val="32"/>
        </w:rPr>
        <w:t>年初预算为0万元，支出决算为44.04万元，决算数大于预算数的主要原因是支付上年结转项目。</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文化旅游体育与传媒（类）其他文化旅游体育与传媒支出（款）其他文化旅游体育与传媒支出（项）</w:t>
      </w:r>
      <w:r>
        <w:rPr>
          <w:rFonts w:hint="eastAsia" w:ascii="仿宋_GB2312" w:hAnsi="仿宋"/>
          <w:b/>
          <w:color w:val="000000"/>
          <w:szCs w:val="32"/>
        </w:rPr>
        <w:t>。</w:t>
      </w:r>
      <w:r>
        <w:rPr>
          <w:rFonts w:hint="eastAsia" w:ascii="仿宋_GB2312" w:hAnsi="仿宋"/>
          <w:szCs w:val="32"/>
        </w:rPr>
        <w:t>年初预算为0万元，支出决算为40万元，决算数大于预算数的主要原因是增加的上级转移支付项目中央补助地方公共文化服务体系建设专项资金。</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社会保障和就业支出（类）行政事业单位养老支出（款）行政单位离退休（项）</w:t>
      </w:r>
      <w:r>
        <w:rPr>
          <w:rFonts w:hint="eastAsia" w:ascii="仿宋_GB2312" w:hAnsi="仿宋"/>
          <w:b/>
          <w:color w:val="000000"/>
          <w:szCs w:val="32"/>
        </w:rPr>
        <w:t>。</w:t>
      </w:r>
      <w:r>
        <w:rPr>
          <w:rFonts w:hint="eastAsia" w:ascii="仿宋_GB2312" w:hAnsi="仿宋"/>
          <w:szCs w:val="32"/>
        </w:rPr>
        <w:t>年初预算为17.68万元，支出决算为34.4万元，完成年初预算的194.57%，决算数大于预算数的主要原因是追加的退休人员慰问金。</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社会保障和就业支出（类）行政事业单位养老支出（款）机关事业单位基本养老保险缴费支出（项）</w:t>
      </w:r>
      <w:r>
        <w:rPr>
          <w:rFonts w:hint="eastAsia" w:ascii="仿宋_GB2312" w:hAnsi="仿宋"/>
          <w:b/>
          <w:color w:val="000000"/>
          <w:szCs w:val="32"/>
        </w:rPr>
        <w:t>。</w:t>
      </w:r>
      <w:r>
        <w:rPr>
          <w:rFonts w:hint="eastAsia" w:ascii="仿宋_GB2312" w:hAnsi="仿宋"/>
          <w:szCs w:val="32"/>
        </w:rPr>
        <w:t>年初预算为47.23万元，支出决算为49.36万元，完成年初预算的104.51%，决算数大于预算数的主要原因是养老保险随工资基数自然增长。</w:t>
      </w:r>
    </w:p>
    <w:p>
      <w:pPr>
        <w:ind w:firstLine="628" w:firstLineChars="200"/>
        <w:rPr>
          <w:rFonts w:ascii="仿宋_GB2312" w:hAnsi="仿宋"/>
          <w:szCs w:val="32"/>
        </w:rPr>
      </w:pPr>
      <w:r>
        <w:rPr>
          <w:rFonts w:hint="eastAsia" w:ascii="仿宋_GB2312" w:hAnsi="仿宋"/>
          <w:szCs w:val="32"/>
        </w:rPr>
        <w:t>4.</w:t>
      </w:r>
      <w:r>
        <w:rPr>
          <w:rFonts w:hint="eastAsia" w:ascii="仿宋_GB2312" w:hAnsi="仿宋"/>
          <w:b/>
          <w:szCs w:val="32"/>
        </w:rPr>
        <w:t>社会保障和就业支出（类）行政事业单位养老支出（款）机关事业单位职业年金缴费支出（项）</w:t>
      </w:r>
      <w:r>
        <w:rPr>
          <w:rFonts w:hint="eastAsia" w:ascii="仿宋_GB2312" w:hAnsi="仿宋"/>
          <w:b/>
          <w:color w:val="000000"/>
          <w:szCs w:val="32"/>
        </w:rPr>
        <w:t>。</w:t>
      </w:r>
      <w:r>
        <w:rPr>
          <w:rFonts w:hint="eastAsia" w:ascii="仿宋_GB2312" w:hAnsi="仿宋"/>
          <w:szCs w:val="32"/>
        </w:rPr>
        <w:t>年初预算为23.61万元，支出决算为6.17万元，完成年初预算的26.13%，决算数小于预算数的主要原因是2021年10月份开始坐实职业年金单位部分。</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社会保障和就业支出（类）抚恤（款）死亡抚恤（项）</w:t>
      </w:r>
      <w:r>
        <w:rPr>
          <w:rFonts w:hint="eastAsia" w:ascii="仿宋_GB2312" w:hAnsi="仿宋"/>
          <w:b/>
          <w:color w:val="000000"/>
          <w:szCs w:val="32"/>
        </w:rPr>
        <w:t>。</w:t>
      </w:r>
      <w:r>
        <w:rPr>
          <w:rFonts w:hint="eastAsia" w:ascii="仿宋_GB2312" w:hAnsi="仿宋"/>
          <w:szCs w:val="32"/>
        </w:rPr>
        <w:t>年初预算为0万元，支出决算为48.46万元，决算数大于预算数的主要原因是离休干部死亡抚恤金。</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卫生健康支出（类）行政事业单位医疗（款）行政单位医疗（项）</w:t>
      </w:r>
      <w:r>
        <w:rPr>
          <w:rFonts w:hint="eastAsia" w:ascii="仿宋_GB2312" w:hAnsi="仿宋"/>
          <w:b/>
          <w:color w:val="000000"/>
          <w:szCs w:val="32"/>
        </w:rPr>
        <w:t>。</w:t>
      </w:r>
      <w:r>
        <w:rPr>
          <w:rFonts w:hint="eastAsia" w:ascii="仿宋_GB2312" w:hAnsi="仿宋"/>
          <w:szCs w:val="32"/>
        </w:rPr>
        <w:t>年初预算为35.2万元，支出决算为35.2万元，完成年初预算的100%。</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农林水支出（类）扶贫（款）其他扶贫支出（项）</w:t>
      </w:r>
      <w:r>
        <w:rPr>
          <w:rFonts w:hint="eastAsia" w:ascii="仿宋_GB2312" w:hAnsi="仿宋"/>
          <w:b/>
          <w:color w:val="000000"/>
          <w:szCs w:val="32"/>
        </w:rPr>
        <w:t>。</w:t>
      </w:r>
      <w:r>
        <w:rPr>
          <w:rFonts w:hint="eastAsia" w:ascii="仿宋_GB2312" w:hAnsi="仿宋"/>
          <w:szCs w:val="32"/>
        </w:rPr>
        <w:t>年初预算为0万元，支出决算为5.51万元，决算数大于预算数的主要原因是市直选派干部和乡村振兴选派干部的生活补助，年初预算由市委组织部统一做的预算。</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住房保障支出（类）住房改革支出（款）住房公积金（项）</w:t>
      </w:r>
      <w:r>
        <w:rPr>
          <w:rFonts w:hint="eastAsia" w:ascii="仿宋_GB2312" w:hAnsi="仿宋"/>
          <w:b/>
          <w:color w:val="000000"/>
          <w:szCs w:val="32"/>
        </w:rPr>
        <w:t>。</w:t>
      </w:r>
      <w:r>
        <w:rPr>
          <w:rFonts w:hint="eastAsia" w:ascii="仿宋_GB2312" w:hAnsi="仿宋"/>
          <w:szCs w:val="32"/>
        </w:rPr>
        <w:t>年初预算为56.87万元，支出决算为56.87万元，完成年初预算的100%。</w:t>
      </w:r>
    </w:p>
    <w:p>
      <w:pPr>
        <w:ind w:firstLine="628" w:firstLineChars="200"/>
        <w:rPr>
          <w:rFonts w:hint="eastAsia" w:ascii="仿宋_GB2312" w:hAnsi="仿宋"/>
          <w:szCs w:val="32"/>
        </w:rPr>
      </w:pPr>
      <w:r>
        <w:rPr>
          <w:rFonts w:hint="eastAsia" w:ascii="仿宋_GB2312" w:hAnsi="仿宋"/>
          <w:szCs w:val="32"/>
        </w:rPr>
        <w:t>4.</w:t>
      </w:r>
      <w:r>
        <w:rPr>
          <w:rFonts w:hint="eastAsia" w:ascii="仿宋_GB2312" w:hAnsi="仿宋"/>
          <w:b/>
          <w:szCs w:val="32"/>
        </w:rPr>
        <w:t>住房保障支出（类）住房改革支出（款）提租补贴（项）</w:t>
      </w:r>
      <w:r>
        <w:rPr>
          <w:rFonts w:hint="eastAsia" w:ascii="仿宋_GB2312" w:hAnsi="仿宋"/>
          <w:b/>
          <w:color w:val="000000"/>
          <w:szCs w:val="32"/>
        </w:rPr>
        <w:t>。</w:t>
      </w:r>
      <w:r>
        <w:rPr>
          <w:rFonts w:hint="eastAsia" w:ascii="仿宋_GB2312" w:hAnsi="仿宋"/>
          <w:szCs w:val="32"/>
        </w:rPr>
        <w:t>年初预算为0万元，支出决算为36.01万元，决算数大于预算数的主要原因是2021年新增的提租补贴预算。</w:t>
      </w:r>
    </w:p>
    <w:p>
      <w:pPr>
        <w:ind w:firstLine="628" w:firstLineChars="200"/>
        <w:rPr>
          <w:rFonts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ascii="仿宋_GB2312" w:hAnsi="仿宋"/>
          <w:szCs w:val="32"/>
        </w:rPr>
      </w:pPr>
      <w:r>
        <w:rPr>
          <w:rFonts w:hint="eastAsia" w:ascii="仿宋_GB2312" w:hAnsi="仿宋"/>
          <w:szCs w:val="32"/>
        </w:rPr>
        <w:t>2021年度财政拨款基本支出862.13万元，其中</w:t>
      </w:r>
      <w:r>
        <w:rPr>
          <w:rFonts w:hint="eastAsia" w:ascii="仿宋_GB2312" w:hAnsi="仿宋"/>
          <w:color w:val="000000"/>
          <w:szCs w:val="32"/>
        </w:rPr>
        <w:t>：</w:t>
      </w:r>
      <w:r>
        <w:rPr>
          <w:rFonts w:hint="eastAsia" w:ascii="仿宋_GB2312" w:hAnsi="仿宋"/>
          <w:szCs w:val="32"/>
        </w:rPr>
        <w:t>人员经费0万元，主要包括:基本工资、津贴补贴、奖金、机关事业单位基本养老保险缴费、职业年金缴费、职工基本医疗保险缴费、公务员医疗补助缴费、其他社会保障缴费、住房公积金、离休费、抚恤金、生活补助、奖励金、其他对个人和家庭的补助支出；公用经费40.61万元，主要包括：工会经费、其他交通费用。</w:t>
      </w:r>
    </w:p>
    <w:p>
      <w:pPr>
        <w:ind w:firstLine="628" w:firstLineChars="200"/>
        <w:outlineLvl w:val="1"/>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政府性基金预算财政拨款收入支出决算情况说明</w:t>
      </w:r>
    </w:p>
    <w:p>
      <w:pPr>
        <w:ind w:firstLine="628" w:firstLineChars="200"/>
        <w:rPr>
          <w:rFonts w:ascii="仿宋_GB2312" w:hAnsi="仿宋"/>
          <w:szCs w:val="32"/>
        </w:rPr>
      </w:pPr>
      <w:r>
        <w:rPr>
          <w:rFonts w:hint="eastAsia" w:ascii="仿宋_GB2312" w:hAnsi="仿宋"/>
          <w:szCs w:val="32"/>
        </w:rPr>
        <w:t>2021年度政府性基金预算财政拨款年初结转和结余0万元，本年收入515.24万元，本年支出515.24万元，年末结转和结余0万元。具体情况说明如下：</w:t>
      </w:r>
    </w:p>
    <w:p>
      <w:pPr>
        <w:ind w:firstLine="628" w:firstLineChars="200"/>
        <w:rPr>
          <w:rFonts w:hint="eastAsia" w:ascii="仿宋_GB2312" w:hAnsi="仿宋"/>
          <w:szCs w:val="32"/>
        </w:rPr>
      </w:pPr>
      <w:r>
        <w:rPr>
          <w:rFonts w:hint="eastAsia" w:ascii="仿宋_GB2312" w:hAnsi="仿宋"/>
          <w:szCs w:val="32"/>
        </w:rPr>
        <w:t>1.</w:t>
      </w:r>
      <w:r>
        <w:rPr>
          <w:rFonts w:hint="eastAsia" w:ascii="仿宋_GB2312" w:hAnsi="仿宋"/>
          <w:b/>
          <w:szCs w:val="32"/>
        </w:rPr>
        <w:t>文化旅游体育与传媒支出（类）国家电影事业发展专项资金安排的支出（款）其他国家电影事业发展专项资金支出（项）。</w:t>
      </w:r>
      <w:r>
        <w:rPr>
          <w:rFonts w:hint="eastAsia" w:ascii="仿宋_GB2312" w:hAnsi="仿宋"/>
          <w:szCs w:val="32"/>
        </w:rPr>
        <w:t>年初预算为0万元，支出决算为5万元，决算数大于预算数的主要原因是增加的上级转移支付国家电影事业发展专项资金。</w:t>
      </w:r>
    </w:p>
    <w:p>
      <w:pPr>
        <w:ind w:firstLine="628" w:firstLineChars="200"/>
        <w:rPr>
          <w:rFonts w:hint="eastAsia" w:ascii="仿宋_GB2312" w:hAnsi="仿宋"/>
          <w:szCs w:val="32"/>
        </w:rPr>
      </w:pPr>
      <w:r>
        <w:rPr>
          <w:rFonts w:hint="eastAsia" w:ascii="仿宋_GB2312" w:hAnsi="仿宋"/>
          <w:szCs w:val="32"/>
          <w:lang w:val="en-US" w:eastAsia="zh-CN"/>
        </w:rPr>
        <w:t>2.</w:t>
      </w:r>
      <w:r>
        <w:rPr>
          <w:rFonts w:hint="eastAsia"/>
        </w:rPr>
        <w:t xml:space="preserve"> </w:t>
      </w:r>
      <w:r>
        <w:rPr>
          <w:rFonts w:hint="eastAsia" w:ascii="仿宋_GB2312" w:hAnsi="仿宋"/>
          <w:b/>
          <w:szCs w:val="32"/>
        </w:rPr>
        <w:t>抗疫特别国债安排的支出（类）抗疫相关支出（款）其他抗疫相关支出（项）。</w:t>
      </w:r>
      <w:r>
        <w:rPr>
          <w:rFonts w:hint="eastAsia" w:ascii="仿宋_GB2312" w:hAnsi="仿宋"/>
          <w:szCs w:val="32"/>
        </w:rPr>
        <w:t>年初预算为0万元，支出决算为510.24万元，决算数大于预算数主要原因是增加的支持企业复工复产财政贴息等政策（抗疫特别国债安排市级航空专项资金）项目经费。</w:t>
      </w:r>
    </w:p>
    <w:p>
      <w:pPr>
        <w:ind w:firstLine="628" w:firstLineChars="200"/>
        <w:outlineLvl w:val="1"/>
        <w:rPr>
          <w:rFonts w:ascii="黑体" w:hAnsi="黑体" w:eastAsia="黑体"/>
          <w:szCs w:val="32"/>
        </w:rPr>
      </w:pPr>
      <w:r>
        <w:rPr>
          <w:rFonts w:hint="eastAsia" w:ascii="黑体" w:hAnsi="黑体" w:eastAsia="黑体"/>
          <w:szCs w:val="32"/>
        </w:rPr>
        <w:t>八、国有资本经营预算财政拨款支出情况说明</w:t>
      </w:r>
    </w:p>
    <w:p>
      <w:pPr>
        <w:ind w:firstLine="628" w:firstLineChars="200"/>
        <w:rPr>
          <w:rFonts w:ascii="仿宋_GB2312" w:hAnsi="仿宋"/>
          <w:szCs w:val="32"/>
        </w:rPr>
      </w:pPr>
      <w:r>
        <w:rPr>
          <w:rFonts w:hint="eastAsia" w:ascii="仿宋_GB2312" w:hAnsi="仿宋"/>
          <w:szCs w:val="32"/>
        </w:rPr>
        <w:t>黄山市文化和旅游局（本级）没有使用国有资本经营预算财政拨款安排的支出。</w:t>
      </w:r>
    </w:p>
    <w:p>
      <w:pPr>
        <w:adjustRightInd w:val="0"/>
        <w:snapToGrid w:val="0"/>
        <w:spacing w:line="600" w:lineRule="exact"/>
        <w:ind w:firstLine="628" w:firstLineChars="200"/>
        <w:outlineLvl w:val="1"/>
        <w:rPr>
          <w:rFonts w:ascii="黑体" w:hAnsi="黑体" w:eastAsia="黑体"/>
          <w:szCs w:val="32"/>
        </w:rPr>
      </w:pPr>
      <w:r>
        <w:rPr>
          <w:rFonts w:hint="eastAsia" w:ascii="黑体" w:hAnsi="黑体" w:eastAsia="黑体"/>
          <w:szCs w:val="32"/>
        </w:rPr>
        <w:t>九、其他重要事项情况说明</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28" w:firstLineChars="200"/>
        <w:rPr>
          <w:rFonts w:ascii="仿宋_GB2312" w:hAnsi="仿宋"/>
          <w:szCs w:val="32"/>
        </w:rPr>
      </w:pPr>
      <w:r>
        <w:rPr>
          <w:rFonts w:hint="eastAsia" w:ascii="仿宋_GB2312" w:hAnsi="仿宋"/>
          <w:szCs w:val="32"/>
        </w:rPr>
        <w:t>2021年度，黄山市文化和旅游局（本级）机关运行经费支出40.61万元，比2020年增加0.4万元，增长99.48%。</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（二）政府采购支出情况。</w:t>
      </w:r>
    </w:p>
    <w:p>
      <w:pPr>
        <w:jc w:val="left"/>
        <w:rPr>
          <w:rFonts w:ascii="仿宋_GB2312" w:hAnsi="仿宋"/>
          <w:szCs w:val="32"/>
        </w:rPr>
      </w:pPr>
      <w:r>
        <w:rPr>
          <w:rFonts w:hint="eastAsia" w:ascii="仿宋_GB2312" w:hAnsi="仿宋"/>
          <w:szCs w:val="32"/>
        </w:rPr>
        <w:t xml:space="preserve">    2021年度，黄山市文化和旅游局（本级）政府采购支出总额0.3万元，其中：政府采购货物支出0万元、政府采购工程支出0万元、政府采购服务支出0.3万元。授予中小企业合同金额0万元，占政府采购支出总额的0%，其中：</w:t>
      </w:r>
      <w:r>
        <w:rPr>
          <w:rFonts w:hint="eastAsia" w:ascii="仿宋" w:hAnsi="仿宋" w:eastAsia="仿宋"/>
        </w:rPr>
        <w:t>授予小微企业合同金额0 万元，占授予中小企业合同金额的0%；货物采购授予中小企业合同金额占货物支出金额的0%，工程采购授予中小企业合同金额占工程支出金额的0%，服务采购授予中小企业合同金额占服务支出金额的0%。</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（三）国有资产占有使用情况。</w:t>
      </w:r>
    </w:p>
    <w:p>
      <w:pPr>
        <w:adjustRightInd w:val="0"/>
        <w:snapToGrid w:val="0"/>
        <w:spacing w:line="600" w:lineRule="exact"/>
        <w:ind w:firstLine="628" w:firstLineChars="200"/>
        <w:rPr>
          <w:rFonts w:ascii="仿宋_GB2312" w:hAnsi="楷体"/>
          <w:b/>
          <w:szCs w:val="32"/>
          <w:highlight w:val="yellow"/>
        </w:rPr>
      </w:pPr>
      <w:r>
        <w:rPr>
          <w:rFonts w:hint="eastAsia" w:ascii="仿宋_GB2312" w:hAnsi="楷体"/>
          <w:szCs w:val="32"/>
        </w:rPr>
        <w:t>截至2021年12月31日，</w:t>
      </w:r>
      <w:r>
        <w:rPr>
          <w:rFonts w:hint="eastAsia" w:ascii="仿宋_GB2312" w:hAnsi="仿宋"/>
          <w:szCs w:val="32"/>
        </w:rPr>
        <w:t>黄山市文化和旅游局（本级）共有车辆0辆，其中：副部（省）级及以上领导用车0辆、主要领导干部用车0辆、机要通信用车0辆、应急保障用车0辆、执法执勤用车0辆、特种专业技术用车0辆、离退休干部用车0辆、其他用车0辆；单价50万元以上的通用设备0台（套），单价100万元以上专用设备0台（套）。</w:t>
      </w:r>
      <w:r>
        <w:rPr>
          <w:rFonts w:ascii="仿宋_GB2312" w:hAnsi="仿宋"/>
          <w:szCs w:val="32"/>
        </w:rPr>
        <w:br w:type="textWrapping"/>
      </w:r>
      <w:r>
        <w:rPr>
          <w:rFonts w:hint="eastAsia" w:ascii="仿宋_GB2312" w:hAnsi="仿宋"/>
          <w:szCs w:val="32"/>
        </w:rPr>
        <w:t xml:space="preserve"> </w:t>
      </w:r>
      <w:r>
        <w:rPr>
          <w:rFonts w:hint="eastAsia" w:ascii="仿宋_GB2312" w:hAnsi="仿宋"/>
          <w:b/>
          <w:bCs/>
          <w:i/>
          <w:iCs/>
          <w:szCs w:val="32"/>
          <w:highlight w:val="none"/>
        </w:rPr>
        <w:t xml:space="preserve"> </w:t>
      </w:r>
      <w:r>
        <w:rPr>
          <w:rFonts w:hint="eastAsia" w:ascii="仿宋_GB2312" w:hAnsi="仿宋"/>
          <w:szCs w:val="32"/>
          <w:highlight w:val="none"/>
        </w:rPr>
        <w:t xml:space="preserve"> </w:t>
      </w:r>
      <w:r>
        <w:rPr>
          <w:rFonts w:hint="eastAsia" w:ascii="仿宋_GB2312" w:hAnsi="楷体"/>
          <w:b/>
          <w:szCs w:val="32"/>
          <w:highlight w:val="none"/>
        </w:rPr>
        <w:t>（四）关于2021年度预算绩效情况说明</w:t>
      </w:r>
    </w:p>
    <w:p>
      <w:pPr>
        <w:spacing w:line="560" w:lineRule="exact"/>
        <w:ind w:firstLine="628" w:firstLineChars="200"/>
        <w:rPr>
          <w:rFonts w:ascii="楷体" w:hAnsi="楷体" w:eastAsia="楷体" w:cs="楷体"/>
          <w:bCs/>
          <w:szCs w:val="32"/>
          <w:highlight w:val="none"/>
        </w:rPr>
      </w:pPr>
      <w:r>
        <w:rPr>
          <w:rFonts w:hint="eastAsia" w:ascii="仿宋_GB2312" w:hAnsi="仿宋_GB2312" w:cs="仿宋_GB2312"/>
          <w:b/>
          <w:bCs/>
          <w:szCs w:val="32"/>
          <w:highlight w:val="none"/>
        </w:rPr>
        <w:t>1.预算绩效管理工作开展情况。</w:t>
      </w:r>
    </w:p>
    <w:p>
      <w:pPr>
        <w:spacing w:line="560" w:lineRule="exact"/>
        <w:ind w:firstLine="628" w:firstLineChars="200"/>
        <w:rPr>
          <w:rFonts w:hint="eastAsia" w:ascii="仿宋" w:hAnsi="仿宋" w:eastAsia="仿宋" w:cs="仿宋"/>
          <w:szCs w:val="32"/>
          <w:highlight w:val="none"/>
        </w:rPr>
      </w:pPr>
      <w:r>
        <w:rPr>
          <w:rFonts w:hint="eastAsia" w:ascii="仿宋" w:hAnsi="仿宋" w:eastAsia="仿宋" w:cs="仿宋"/>
          <w:szCs w:val="32"/>
          <w:highlight w:val="none"/>
        </w:rPr>
        <w:t>根据预算绩效管理要求，我单位对2021年度纳入单位预算的项目支出全面开展了绩效自评，共</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个项目，涉及资金</w:t>
      </w:r>
      <w:r>
        <w:rPr>
          <w:rFonts w:hint="eastAsia" w:ascii="仿宋" w:hAnsi="仿宋" w:eastAsia="仿宋" w:cs="仿宋"/>
          <w:szCs w:val="32"/>
          <w:highlight w:val="none"/>
          <w:lang w:val="en-US" w:eastAsia="zh-CN"/>
        </w:rPr>
        <w:t>4165</w:t>
      </w:r>
      <w:r>
        <w:rPr>
          <w:rFonts w:hint="eastAsia" w:ascii="仿宋" w:hAnsi="仿宋" w:eastAsia="仿宋" w:cs="仿宋"/>
          <w:szCs w:val="32"/>
          <w:highlight w:val="none"/>
        </w:rPr>
        <w:t>万元，占项目预算总额的</w:t>
      </w:r>
      <w:r>
        <w:rPr>
          <w:rFonts w:hint="eastAsia" w:ascii="仿宋" w:hAnsi="仿宋" w:eastAsia="仿宋" w:cs="仿宋"/>
          <w:szCs w:val="32"/>
          <w:highlight w:val="none"/>
          <w:lang w:val="en-US" w:eastAsia="zh-CN"/>
        </w:rPr>
        <w:t>100</w:t>
      </w:r>
      <w:r>
        <w:rPr>
          <w:rFonts w:hint="eastAsia" w:ascii="仿宋" w:hAnsi="仿宋" w:eastAsia="仿宋" w:cs="仿宋"/>
          <w:szCs w:val="32"/>
          <w:highlight w:val="none"/>
        </w:rPr>
        <w:t>%。</w:t>
      </w:r>
      <w:r>
        <w:rPr>
          <w:rFonts w:hint="eastAsia" w:ascii="仿宋" w:hAnsi="仿宋" w:eastAsia="仿宋" w:cs="仿宋"/>
          <w:szCs w:val="32"/>
          <w:highlight w:val="none"/>
        </w:rPr>
        <w:t>从评价情况看，项目全年绩效目标基本完成。根据省、市关于全面实施绩效管理的相关规定，坚持勤俭办事业的方针，统筹安排事业发展和资金供给的关系、社会效益和经济效益的关系，专款专用，切实提高财政资金使用效益，在资金使用及管理方面，单位严格按照专项资金要求规范使用，不存在截留、挤占、挪用、虚列支出等情况，确保财政资金安全高效。</w:t>
      </w:r>
    </w:p>
    <w:p>
      <w:pPr>
        <w:spacing w:line="560" w:lineRule="exact"/>
        <w:ind w:firstLine="628" w:firstLineChars="200"/>
        <w:rPr>
          <w:rFonts w:ascii="楷体" w:hAnsi="楷体" w:eastAsia="楷体" w:cs="楷体"/>
          <w:bCs/>
          <w:szCs w:val="32"/>
          <w:highlight w:val="none"/>
        </w:rPr>
      </w:pPr>
      <w:r>
        <w:rPr>
          <w:rFonts w:hint="eastAsia" w:ascii="仿宋_GB2312" w:hAnsi="仿宋_GB2312" w:cs="仿宋_GB2312"/>
          <w:b/>
          <w:bCs/>
          <w:szCs w:val="32"/>
          <w:highlight w:val="none"/>
        </w:rPr>
        <w:t>2.单位决算中项目绩效自评结果。</w:t>
      </w:r>
    </w:p>
    <w:p>
      <w:pPr>
        <w:spacing w:line="560" w:lineRule="exact"/>
        <w:ind w:firstLine="628" w:firstLineChars="200"/>
        <w:rPr>
          <w:rFonts w:ascii="仿宋_GB2312" w:hAnsi="仿宋_GB2312" w:cs="仿宋_GB2312"/>
          <w:szCs w:val="32"/>
          <w:highlight w:val="yellow"/>
        </w:rPr>
      </w:pPr>
      <w:r>
        <w:rPr>
          <w:rFonts w:hint="eastAsia" w:ascii="仿宋_GB2312" w:hAnsi="仿宋_GB2312" w:cs="仿宋_GB2312"/>
          <w:szCs w:val="32"/>
          <w:highlight w:val="none"/>
          <w:lang w:val="en-US" w:eastAsia="zh-CN"/>
        </w:rPr>
        <w:t>黄山市文化和旅游局</w:t>
      </w:r>
      <w:r>
        <w:rPr>
          <w:rFonts w:hint="eastAsia" w:ascii="仿宋_GB2312" w:hAnsi="仿宋_GB2312" w:cs="仿宋_GB2312"/>
          <w:szCs w:val="32"/>
          <w:highlight w:val="none"/>
        </w:rPr>
        <w:t>在2021年度单位决算中反映“民航发展专项资金和包机奖励”、“徽州古建筑保护利用工程”“徽剧小剧场惠民演出经费”、“文化和旅游管理工作经费”</w:t>
      </w:r>
      <w:r>
        <w:rPr>
          <w:rFonts w:hint="eastAsia" w:ascii="仿宋_GB2312" w:hAnsi="仿宋_GB2312" w:cs="仿宋_GB2312"/>
          <w:szCs w:val="32"/>
          <w:highlight w:val="none"/>
          <w:lang w:val="en-US" w:eastAsia="zh-CN"/>
        </w:rPr>
        <w:t>和</w:t>
      </w:r>
      <w:r>
        <w:rPr>
          <w:rFonts w:hint="eastAsia" w:ascii="仿宋_GB2312" w:hAnsi="仿宋_GB2312" w:cs="仿宋_GB2312"/>
          <w:szCs w:val="32"/>
          <w:highlight w:val="none"/>
        </w:rPr>
        <w:t>“第五届中国非物质文化遗产传统技艺大展”项目绩效自评结果。</w:t>
      </w:r>
    </w:p>
    <w:p>
      <w:pPr>
        <w:adjustRightInd w:val="0"/>
        <w:snapToGrid w:val="0"/>
        <w:spacing w:line="600" w:lineRule="exact"/>
        <w:ind w:firstLine="628" w:firstLineChars="200"/>
        <w:rPr>
          <w:rFonts w:hint="eastAsia" w:ascii="仿宋_GB2312" w:hAnsi="仿宋_GB2312" w:cs="仿宋_GB2312"/>
          <w:bCs/>
          <w:szCs w:val="32"/>
          <w:highlight w:val="yellow"/>
        </w:rPr>
      </w:pPr>
      <w:r>
        <w:rPr>
          <w:rFonts w:hint="eastAsia" w:ascii="仿宋_GB2312" w:hAnsi="仿宋_GB2312" w:cs="仿宋_GB2312"/>
          <w:bCs/>
          <w:color w:val="000000"/>
          <w:szCs w:val="32"/>
          <w:highlight w:val="none"/>
        </w:rPr>
        <w:t>民航发展专项资金和包机奖励项目绩效自评综述：根据年初设定的绩效目标，项目绩效自评得分为</w:t>
      </w:r>
      <w:r>
        <w:rPr>
          <w:rFonts w:hint="eastAsia" w:ascii="仿宋_GB2312" w:hAnsi="仿宋_GB2312" w:cs="仿宋_GB2312"/>
          <w:bCs/>
          <w:color w:val="000000"/>
          <w:szCs w:val="32"/>
          <w:highlight w:val="none"/>
          <w:lang w:val="en-US" w:eastAsia="zh-CN"/>
        </w:rPr>
        <w:t>90</w:t>
      </w:r>
      <w:r>
        <w:rPr>
          <w:rFonts w:hint="eastAsia" w:ascii="仿宋_GB2312" w:hAnsi="仿宋_GB2312" w:cs="仿宋_GB2312"/>
          <w:bCs/>
          <w:color w:val="000000"/>
          <w:szCs w:val="32"/>
          <w:highlight w:val="none"/>
        </w:rPr>
        <w:t>分。全年预算数为</w:t>
      </w:r>
      <w:r>
        <w:rPr>
          <w:rFonts w:hint="eastAsia" w:ascii="仿宋_GB2312" w:hAnsi="仿宋_GB2312" w:cs="仿宋_GB2312"/>
          <w:bCs/>
          <w:color w:val="000000"/>
          <w:szCs w:val="32"/>
          <w:highlight w:val="none"/>
          <w:lang w:val="en-US" w:eastAsia="zh-CN"/>
        </w:rPr>
        <w:t>3000</w:t>
      </w:r>
      <w:r>
        <w:rPr>
          <w:rFonts w:hint="eastAsia" w:ascii="仿宋_GB2312" w:hAnsi="仿宋_GB2312" w:cs="仿宋_GB2312"/>
          <w:bCs/>
          <w:color w:val="000000"/>
          <w:szCs w:val="32"/>
          <w:highlight w:val="none"/>
        </w:rPr>
        <w:t>万元，执行数为</w:t>
      </w:r>
      <w:r>
        <w:rPr>
          <w:rFonts w:hint="eastAsia" w:ascii="仿宋_GB2312" w:hAnsi="仿宋_GB2312" w:cs="仿宋_GB2312"/>
          <w:bCs/>
          <w:color w:val="000000"/>
          <w:szCs w:val="32"/>
          <w:highlight w:val="none"/>
          <w:lang w:val="en-US" w:eastAsia="zh-CN"/>
        </w:rPr>
        <w:t>3000</w:t>
      </w:r>
      <w:r>
        <w:rPr>
          <w:rFonts w:hint="eastAsia" w:ascii="仿宋_GB2312" w:hAnsi="仿宋_GB2312" w:cs="仿宋_GB2312"/>
          <w:bCs/>
          <w:color w:val="000000"/>
          <w:szCs w:val="32"/>
          <w:highlight w:val="none"/>
        </w:rPr>
        <w:t>万元，完成预算的</w:t>
      </w:r>
      <w:r>
        <w:rPr>
          <w:rFonts w:hint="eastAsia" w:ascii="仿宋_GB2312" w:hAnsi="仿宋_GB2312" w:cs="仿宋_GB2312"/>
          <w:bCs/>
          <w:color w:val="000000"/>
          <w:szCs w:val="32"/>
          <w:highlight w:val="none"/>
          <w:lang w:val="en-US" w:eastAsia="zh-CN"/>
        </w:rPr>
        <w:t>100</w:t>
      </w:r>
      <w:r>
        <w:rPr>
          <w:rFonts w:hint="eastAsia" w:ascii="仿宋_GB2312" w:hAnsi="仿宋_GB2312" w:cs="仿宋_GB2312"/>
          <w:bCs/>
          <w:color w:val="000000"/>
          <w:szCs w:val="32"/>
          <w:highlight w:val="none"/>
        </w:rPr>
        <w:t>%。黄山机场</w:t>
      </w:r>
      <w:r>
        <w:rPr>
          <w:rFonts w:hint="eastAsia" w:ascii="仿宋_GB2312" w:hAnsi="仿宋_GB2312" w:cs="仿宋_GB2312"/>
          <w:bCs/>
          <w:color w:val="000000"/>
          <w:szCs w:val="32"/>
          <w:highlight w:val="none"/>
          <w:lang w:val="en-US" w:eastAsia="zh-CN"/>
        </w:rPr>
        <w:t>2021</w:t>
      </w:r>
      <w:r>
        <w:rPr>
          <w:rFonts w:hint="eastAsia" w:ascii="仿宋_GB2312" w:hAnsi="仿宋_GB2312" w:cs="仿宋_GB2312"/>
          <w:bCs/>
          <w:color w:val="000000"/>
          <w:szCs w:val="32"/>
          <w:highlight w:val="none"/>
        </w:rPr>
        <w:t>年通过奖励续飞、加密、新开航线航班等，对黄山市旅游航空市场的培育取得了较好的成绩，通过航线网络布局调整、新增和加密航班，为疫后运输生产恢复和黄山市经济社会发展，提高城市综合竞争力，起到了积极推动作用。项目申报程序基本符合相关管理规定，市财政补助资金及时拨付到位，黄山机场能够做到补助资金专款专用，受疫情影响，黄山机场旅客吞吐量虽</w:t>
      </w:r>
      <w:r>
        <w:rPr>
          <w:rFonts w:hint="eastAsia" w:ascii="仿宋_GB2312" w:hAnsi="仿宋_GB2312" w:cs="仿宋_GB2312"/>
          <w:bCs/>
          <w:color w:val="000000"/>
          <w:szCs w:val="32"/>
          <w:highlight w:val="none"/>
          <w:lang w:val="en-US" w:eastAsia="zh-CN"/>
        </w:rPr>
        <w:t>有所</w:t>
      </w:r>
      <w:r>
        <w:rPr>
          <w:rFonts w:hint="eastAsia" w:ascii="仿宋_GB2312" w:hAnsi="仿宋_GB2312" w:cs="仿宋_GB2312"/>
          <w:bCs/>
          <w:color w:val="000000"/>
          <w:szCs w:val="32"/>
          <w:highlight w:val="none"/>
        </w:rPr>
        <w:t>下滑，但航班执飞正点情况良好，安全生产也取得较好的成绩。</w:t>
      </w:r>
    </w:p>
    <w:tbl>
      <w:tblPr>
        <w:tblStyle w:val="5"/>
        <w:tblW w:w="5248"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596"/>
        <w:gridCol w:w="664"/>
        <w:gridCol w:w="1584"/>
        <w:gridCol w:w="837"/>
        <w:gridCol w:w="240"/>
        <w:gridCol w:w="774"/>
        <w:gridCol w:w="1020"/>
        <w:gridCol w:w="510"/>
        <w:gridCol w:w="525"/>
        <w:gridCol w:w="84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32"/>
                <w:szCs w:val="32"/>
                <w:u w:val="none"/>
              </w:rPr>
            </w:pPr>
            <w:r>
              <w:rPr>
                <w:rStyle w:val="9"/>
                <w:lang w:val="en-US" w:eastAsia="zh-CN" w:bidi="ar"/>
              </w:rPr>
              <w:t>项目支出绩效自评表</w:t>
            </w:r>
            <w:r>
              <w:rPr>
                <w:rStyle w:val="1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2"/>
            <w:tcBorders>
              <w:top w:val="nil"/>
              <w:left w:val="nil"/>
              <w:bottom w:val="single" w:color="000000"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民航发展专项资金及包机奖励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黄山市文化和旅游局</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黄山机场分公司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5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Style w:val="12"/>
                <w:lang w:val="en-US" w:eastAsia="zh-CN" w:bidi="ar"/>
              </w:rPr>
              <w:t>其中：本年财政拨款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Style w:val="11"/>
                <w:lang w:val="en-US" w:eastAsia="zh-CN" w:bidi="ar"/>
              </w:rPr>
              <w:t xml:space="preserve"> </w:t>
            </w:r>
            <w:r>
              <w:rPr>
                <w:rStyle w:val="12"/>
                <w:lang w:val="en-US" w:eastAsia="zh-CN" w:bidi="ar"/>
              </w:rPr>
              <w:t xml:space="preserve">  其他资金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8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24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7"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8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2021年黄山机场完成旅客吞吐量78万人次</w:t>
            </w:r>
          </w:p>
        </w:tc>
        <w:tc>
          <w:tcPr>
            <w:tcW w:w="192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2021年黄山机场完成旅客吞吐量43.5万人次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指标1：通航城市</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21个</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指标2：国际和地区通航城市</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指标3：旅客吞吐量</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≧78万人次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43.5万人次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指标4：新增航班数量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指标1：经费支出合规性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指标2：始发航班正常率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指标1：补助资金到位率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指标2：补助资金使用率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指标1：补助总额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3000万元</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指标1：降低航空公司运营成本的影响程度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指标1：对方便大众出行的影响程度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指标2：对吸引航空公司开辟航线的影响程度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指标1：净空要求对中心城区影响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影响程度（较高、明显、一般）</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明显</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加快推进机场迁建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指标1：对民航业发展的可持续影响程度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指标1：旅客满意度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指标2：补助企业满意度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661"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40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0"/>
                <w:szCs w:val="20"/>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bl>
    <w:p>
      <w:pPr>
        <w:adjustRightInd w:val="0"/>
        <w:snapToGrid w:val="0"/>
        <w:spacing w:line="600" w:lineRule="exact"/>
        <w:ind w:firstLine="628" w:firstLineChars="200"/>
        <w:rPr>
          <w:rFonts w:hint="eastAsia" w:ascii="仿宋_GB2312" w:hAnsi="仿宋_GB2312" w:cs="仿宋_GB2312"/>
          <w:bCs/>
          <w:szCs w:val="32"/>
          <w:highlight w:val="none"/>
        </w:rPr>
      </w:pPr>
      <w:r>
        <w:rPr>
          <w:rFonts w:hint="eastAsia" w:ascii="仿宋_GB2312" w:hAnsi="仿宋_GB2312" w:cs="仿宋_GB2312"/>
          <w:bCs/>
          <w:szCs w:val="32"/>
          <w:highlight w:val="none"/>
        </w:rPr>
        <w:t>徽州古建筑保护利用工程项目绩效自评综述：根据年初设定的绩效目标，项目绩效自评得分为</w:t>
      </w:r>
      <w:r>
        <w:rPr>
          <w:rFonts w:hint="eastAsia" w:ascii="仿宋_GB2312" w:hAnsi="仿宋_GB2312" w:cs="仿宋_GB2312"/>
          <w:bCs/>
          <w:szCs w:val="32"/>
          <w:highlight w:val="none"/>
          <w:lang w:val="en-US" w:eastAsia="zh-CN"/>
        </w:rPr>
        <w:t>95</w:t>
      </w:r>
      <w:r>
        <w:rPr>
          <w:rFonts w:hint="eastAsia" w:ascii="仿宋_GB2312" w:hAnsi="仿宋_GB2312" w:cs="仿宋_GB2312"/>
          <w:bCs/>
          <w:szCs w:val="32"/>
          <w:highlight w:val="none"/>
        </w:rPr>
        <w:t>分。全年预算数为600万元，执行数为600万元，完成预算的100%。202</w:t>
      </w:r>
      <w:r>
        <w:rPr>
          <w:rFonts w:hint="eastAsia" w:ascii="仿宋_GB2312" w:hAnsi="仿宋_GB2312" w:cs="仿宋_GB2312"/>
          <w:bCs/>
          <w:szCs w:val="32"/>
          <w:highlight w:val="none"/>
          <w:lang w:val="en-US" w:eastAsia="zh-CN"/>
        </w:rPr>
        <w:t>1</w:t>
      </w:r>
      <w:r>
        <w:rPr>
          <w:rFonts w:hint="eastAsia" w:ascii="仿宋_GB2312" w:hAnsi="仿宋_GB2312" w:cs="仿宋_GB2312"/>
          <w:bCs/>
          <w:szCs w:val="32"/>
          <w:highlight w:val="none"/>
        </w:rPr>
        <w:t>年度徽州古建筑保护利用专项资金安排600万元，共安排项目</w:t>
      </w:r>
      <w:r>
        <w:rPr>
          <w:rFonts w:hint="eastAsia" w:ascii="仿宋_GB2312" w:hAnsi="仿宋_GB2312" w:cs="仿宋_GB2312"/>
          <w:bCs/>
          <w:szCs w:val="32"/>
          <w:highlight w:val="none"/>
          <w:lang w:val="en-US" w:eastAsia="zh-CN"/>
        </w:rPr>
        <w:t>37</w:t>
      </w:r>
      <w:r>
        <w:rPr>
          <w:rFonts w:hint="eastAsia" w:ascii="仿宋_GB2312" w:hAnsi="仿宋_GB2312" w:cs="仿宋_GB2312"/>
          <w:bCs/>
          <w:szCs w:val="32"/>
          <w:highlight w:val="none"/>
        </w:rPr>
        <w:t>个，主要用于徽州古建筑保护利用、革命文物保护利用、科技运用与课题研究等古建筑保护利用工作，其中古建筑保护修缮工程</w:t>
      </w:r>
      <w:r>
        <w:rPr>
          <w:rFonts w:hint="eastAsia" w:ascii="仿宋_GB2312" w:hAnsi="仿宋_GB2312" w:cs="仿宋_GB2312"/>
          <w:bCs/>
          <w:szCs w:val="32"/>
          <w:highlight w:val="none"/>
          <w:lang w:val="en-US" w:eastAsia="zh-CN"/>
        </w:rPr>
        <w:t>26</w:t>
      </w:r>
      <w:r>
        <w:rPr>
          <w:rFonts w:hint="eastAsia" w:ascii="仿宋_GB2312" w:hAnsi="仿宋_GB2312" w:cs="仿宋_GB2312"/>
          <w:bCs/>
          <w:szCs w:val="32"/>
          <w:highlight w:val="none"/>
        </w:rPr>
        <w:t>个、古建筑保护利用工程4个，其他（书籍编撰、出版、文物保护研究等）7个</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202</w:t>
      </w:r>
      <w:r>
        <w:rPr>
          <w:rFonts w:hint="eastAsia" w:ascii="仿宋_GB2312" w:hAnsi="仿宋_GB2312" w:cs="仿宋_GB2312"/>
          <w:bCs/>
          <w:szCs w:val="32"/>
          <w:highlight w:val="none"/>
          <w:lang w:val="en-US" w:eastAsia="zh-CN"/>
        </w:rPr>
        <w:t>1</w:t>
      </w:r>
      <w:r>
        <w:rPr>
          <w:rFonts w:hint="eastAsia" w:ascii="仿宋_GB2312" w:hAnsi="仿宋_GB2312" w:cs="仿宋_GB2312"/>
          <w:bCs/>
          <w:szCs w:val="32"/>
          <w:highlight w:val="none"/>
        </w:rPr>
        <w:t>年对全市范围内徽州古建筑、革命文物保护进行保护利用；进一步扩展范围，实施一批古建筑保护利用重点项目，利用多种多样的方式，提升徽文化的知名度和影响力。</w:t>
      </w:r>
    </w:p>
    <w:tbl>
      <w:tblPr>
        <w:tblStyle w:val="5"/>
        <w:tblW w:w="5240" w:type="pct"/>
        <w:tblInd w:w="-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420"/>
        <w:gridCol w:w="360"/>
        <w:gridCol w:w="45"/>
        <w:gridCol w:w="1890"/>
        <w:gridCol w:w="943"/>
        <w:gridCol w:w="555"/>
        <w:gridCol w:w="1125"/>
        <w:gridCol w:w="933"/>
        <w:gridCol w:w="510"/>
        <w:gridCol w:w="465"/>
        <w:gridCol w:w="600"/>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3"/>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4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徽州古建筑保护利用专项资金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黄山市文化和旅游局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1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黄山市文化和旅游局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年度资金总额：</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其中：本年财政拨款</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282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6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82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根据《黄山市徽州古建筑保护利用专项资金管理暂行办法》，按照“保护为主，抢救第一，突出重点，兼顾一般”的工作原则，完成2021年徽州古建筑保护利用工作。</w:t>
            </w:r>
          </w:p>
        </w:tc>
        <w:tc>
          <w:tcPr>
            <w:tcW w:w="16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完成徽州古建筑保护修缮项目26个，保护利用项目4个，书籍编撰、出版、文物保护研究等下项目7个，预计2022年前完成所有项目。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指标1：古建筑保护修缮工程</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26个</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26个</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因疫情原因，材料及施工人员无法到达，部分项目进展缓慢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指标2：古建筑保护利用工程</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指标3：其他（书籍编撰、出版、文物保护研究等）</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7个</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7个</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指标1：安全事故发生率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指标2：古建筑损毁、违规修复发生率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指标3：验收合格率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指标4：经费支出合规性</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严格执行相关财经法规、制度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指标1：项目完成率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指标2：文物保护及时性</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按照计划时间完成</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指标3：经费支出时效性</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按计划时间支出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指标1：保护总成本金额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指标1：提供就业岗位，提高当地群众收入，提升旅游和地方经济发展</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指标2：带动当地旅游业发展增长率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指标1：提升全市古建筑保护水平与全民文物保护意识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指标1：周边环境改善程度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明显改善</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明显改善</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指标2：生态环境优化程度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明显优化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明显优化</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指标1：对徽文化传承影响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指标2：对最大程度使古建筑得到有效保护的影响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指标3：对更好地利用历史资源，展示当地历史文化，传承文化遗产，形成保护与利用的良性结合</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影响明显</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2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指标1：当地居民满意度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指标2：使用人员对保护情况满意度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指标3：社会公众对古建筑保护满意度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72" w:type="pct"/>
            <w:gridSpan w:val="7"/>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9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bl>
    <w:p>
      <w:pPr>
        <w:adjustRightInd w:val="0"/>
        <w:snapToGrid w:val="0"/>
        <w:spacing w:line="600" w:lineRule="exact"/>
        <w:ind w:firstLine="628" w:firstLineChars="200"/>
        <w:rPr>
          <w:rFonts w:hint="eastAsia" w:ascii="仿宋_GB2312" w:hAnsi="仿宋_GB2312" w:cs="仿宋_GB2312"/>
          <w:bCs/>
          <w:szCs w:val="32"/>
          <w:highlight w:val="yellow"/>
        </w:rPr>
      </w:pPr>
      <w:r>
        <w:rPr>
          <w:rFonts w:hint="eastAsia" w:ascii="仿宋_GB2312" w:hAnsi="仿宋_GB2312" w:cs="仿宋_GB2312"/>
          <w:bCs/>
          <w:szCs w:val="32"/>
          <w:highlight w:val="none"/>
        </w:rPr>
        <w:t>徽剧小剧场惠民演出经费项目绩效自评综述：根据年初设定的绩效目标，项目绩效自评得分为</w:t>
      </w:r>
      <w:r>
        <w:rPr>
          <w:rFonts w:hint="eastAsia" w:ascii="仿宋_GB2312" w:hAnsi="仿宋_GB2312" w:cs="仿宋_GB2312"/>
          <w:bCs/>
          <w:szCs w:val="32"/>
          <w:highlight w:val="none"/>
          <w:lang w:val="en-US" w:eastAsia="zh-CN"/>
        </w:rPr>
        <w:t>98</w:t>
      </w:r>
      <w:r>
        <w:rPr>
          <w:rFonts w:hint="eastAsia" w:ascii="仿宋_GB2312" w:hAnsi="仿宋_GB2312" w:cs="仿宋_GB2312"/>
          <w:bCs/>
          <w:szCs w:val="32"/>
          <w:highlight w:val="none"/>
        </w:rPr>
        <w:t>分。全年预算数为80万元，执行数为80万元，完成预算的100%。为了充分发挥徽剧小剧场公共服务职能，艺术剧院有限公司结合周边文旅资源，充分挖掘徽州文化价值，以徽剧小剧场惠民演出为引领，实现徽剧等优秀传统文化传承创新，弘扬和宣传徽文化的优秀作品。</w:t>
      </w:r>
    </w:p>
    <w:tbl>
      <w:tblPr>
        <w:tblStyle w:val="5"/>
        <w:tblW w:w="5164" w:type="pct"/>
        <w:tblInd w:w="-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671"/>
        <w:gridCol w:w="772"/>
        <w:gridCol w:w="1729"/>
        <w:gridCol w:w="917"/>
        <w:gridCol w:w="469"/>
        <w:gridCol w:w="701"/>
        <w:gridCol w:w="801"/>
        <w:gridCol w:w="510"/>
        <w:gridCol w:w="510"/>
        <w:gridCol w:w="798"/>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4"/>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2"/>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徽剧小剧场惠民演出经费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黄山市文化和旅游局(黄山市广播电视新闻出版局）</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2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黄山市艺术剧院有限公司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5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其中：本年财政拨款</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Style w:val="15"/>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28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6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82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充分挖掘徽州文化价值，以徽剧小剧场惠民演出为引领，实现徽剧、徽州民歌舞等优秀传统文化传承和发展，徽文化得以宣传和发扬。年度预计完成八十个场次。</w:t>
            </w:r>
          </w:p>
        </w:tc>
        <w:tc>
          <w:tcPr>
            <w:tcW w:w="16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由黄山市艺术剧院打造原汁原味的徽剧、徽州民歌舞“徽风徽韵”专场演出，年度完成八十个场次。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演出场次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80场次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80场次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接待人数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≥10000人次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≥10000人次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演出质量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质优</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按进度控制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按进度控制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演出成本控制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合理合规</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合理合规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增加观看人数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提升文化惠民普及</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传统艺术传承与发展</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对徽文化的影响力</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市民和游客满意度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929"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37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bl>
    <w:p>
      <w:pPr>
        <w:adjustRightInd w:val="0"/>
        <w:snapToGrid w:val="0"/>
        <w:spacing w:line="600" w:lineRule="exact"/>
        <w:ind w:firstLine="628" w:firstLineChars="200"/>
        <w:rPr>
          <w:rFonts w:hint="eastAsia" w:ascii="仿宋_GB2312" w:hAnsi="仿宋_GB2312" w:cs="仿宋_GB2312"/>
          <w:bCs/>
          <w:szCs w:val="32"/>
          <w:highlight w:val="yellow"/>
        </w:rPr>
      </w:pPr>
      <w:r>
        <w:rPr>
          <w:rFonts w:hint="eastAsia" w:ascii="仿宋_GB2312" w:hAnsi="仿宋_GB2312" w:cs="仿宋_GB2312"/>
          <w:bCs/>
          <w:szCs w:val="32"/>
          <w:highlight w:val="none"/>
        </w:rPr>
        <w:t>文化和旅游管理工作经费项目绩效自评综述：根据年初设定的绩效目标，项目绩效自评得分为100分。全年预算数为200万元，执行数为200万元，完成预算的100%。202</w:t>
      </w:r>
      <w:r>
        <w:rPr>
          <w:rFonts w:hint="eastAsia" w:ascii="仿宋_GB2312" w:hAnsi="仿宋_GB2312" w:cs="仿宋_GB2312"/>
          <w:bCs/>
          <w:szCs w:val="32"/>
          <w:highlight w:val="none"/>
          <w:lang w:val="en-US" w:eastAsia="zh-CN"/>
        </w:rPr>
        <w:t>1</w:t>
      </w:r>
      <w:r>
        <w:rPr>
          <w:rFonts w:hint="eastAsia" w:ascii="仿宋_GB2312" w:hAnsi="仿宋_GB2312" w:cs="仿宋_GB2312"/>
          <w:bCs/>
          <w:szCs w:val="32"/>
          <w:highlight w:val="none"/>
        </w:rPr>
        <w:t>年文化和旅游管理工作经费总体上达到了年初绩效目标，在实施过程中取得了一定成效，具体表现在切实保障局机关正常工作运转，（包括物业费，水电费，差旅费，租车费，聘用人员工资、社保、公积金以及日常工作开展）；保障重点工作领域经费支出（推进重大项目建设</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加快产业转型升级</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拓展对外宣传推广</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提升公共服务水平</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丰富文艺创作）。</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576"/>
        <w:gridCol w:w="1088"/>
        <w:gridCol w:w="861"/>
        <w:gridCol w:w="744"/>
        <w:gridCol w:w="850"/>
        <w:gridCol w:w="686"/>
        <w:gridCol w:w="565"/>
        <w:gridCol w:w="63"/>
        <w:gridCol w:w="391"/>
        <w:gridCol w:w="452"/>
        <w:gridCol w:w="230"/>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000" w:type="pct"/>
            <w:gridSpan w:val="1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仿宋_GBK" w:hAnsi="方正仿宋_GBK" w:eastAsia="方正仿宋_GBK" w:cs="方正仿宋_GBK"/>
                <w:b/>
                <w:bCs/>
                <w:i w:val="0"/>
                <w:iCs w:val="0"/>
                <w:color w:val="000000"/>
                <w:sz w:val="36"/>
                <w:szCs w:val="36"/>
                <w:u w:val="none"/>
              </w:rPr>
            </w:pPr>
            <w:r>
              <w:rPr>
                <w:rFonts w:hint="default" w:ascii="方正仿宋_GBK" w:hAnsi="方正仿宋_GBK" w:eastAsia="方正仿宋_GBK" w:cs="方正仿宋_GBK"/>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项目名称</w:t>
            </w:r>
          </w:p>
        </w:tc>
        <w:tc>
          <w:tcPr>
            <w:tcW w:w="40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w:t>
            </w:r>
          </w:p>
        </w:tc>
        <w:tc>
          <w:tcPr>
            <w:tcW w:w="19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黄山市文化和旅游局</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14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项目资金（万元）</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年初预算数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全年预算数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全年执行数</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分值</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年度资金总额</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其中：当年财政拨款</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211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市文旅系统认真贯彻落实市委、市政府的决策部署，全面落实“六稳”“六保”工作要求，紧紧围绕“旅游+”主线和推进全域旅游发展、建设文化强市目标，以皖南国际文化旅游示范区、徽州文化生态保护区建设为平台，突出重点、精准发力，高质量推进文旅深度融合发展，奋力推动文化建设和旅游发展再上台阶。1.全力推进重大项目建设。2.全力加快产业转型升级。3.全力拓展对外宣传推广。4.全力推动文艺繁荣发展。5全力织密公共服务网络。6、全力加强遗产保护利用。7.全力优化文旅市场环境。8全力促进文旅自身建设。</w:t>
            </w:r>
          </w:p>
        </w:tc>
        <w:tc>
          <w:tcPr>
            <w:tcW w:w="211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面对疫情、汛情双重冲击，全市文旅部门闻令而动、担当作为，坚决贯彻落实市委、市政府各项部署要求，统筹推进疫情防控与文旅发展，着力打好“复苏”牌、走好“转型”路，各项工作稳中有进、稳中提质、稳中向好，全市接待游客6316.86万人次，旅游总收入538.1亿元，恢复水平居全省前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实际完成值</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分值</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得分</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891"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文旅招商项目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创作剧本、孵化剧本数量</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文旅市场监管覆盖率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新增旅游品牌数量</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完成市政府部署的重点工作任务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全面完成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200万工作经费合规支出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合规</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合规</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按照资金支出节点支出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工作任务按时完成</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按时完成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按时完成</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按照预算数执行</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促进黄山市旅游行业经济复苏</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有效复苏</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提升文化产业综合竞争力</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提高公共文化服务水平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提升旅游行业知名度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有效改善景区环境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 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文明旅游观念不断深入人心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促进农村经济发展，全面实现小康社会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旅游满意度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市民对公共文化服务水平满意度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6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总分</w:t>
            </w:r>
          </w:p>
        </w:tc>
        <w:tc>
          <w:tcPr>
            <w:tcW w:w="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ind w:firstLine="628" w:firstLineChars="200"/>
        <w:rPr>
          <w:rFonts w:hint="eastAsia" w:ascii="仿宋_GB2312" w:hAnsi="仿宋_GB2312" w:cs="仿宋_GB2312"/>
          <w:bCs/>
          <w:szCs w:val="32"/>
          <w:highlight w:val="yellow"/>
        </w:rPr>
      </w:pPr>
      <w:r>
        <w:rPr>
          <w:rFonts w:hint="eastAsia" w:ascii="仿宋_GB2312" w:hAnsi="仿宋_GB2312" w:cs="仿宋_GB2312"/>
          <w:bCs/>
          <w:szCs w:val="32"/>
          <w:highlight w:val="none"/>
        </w:rPr>
        <w:t>第五届中国非物质文化遗产传统技艺大展项目绩效自评综述：根据年初设定的绩效目标，项目绩效自评得分为</w:t>
      </w:r>
      <w:r>
        <w:rPr>
          <w:rFonts w:hint="eastAsia" w:ascii="仿宋_GB2312" w:hAnsi="仿宋_GB2312" w:cs="仿宋_GB2312"/>
          <w:bCs/>
          <w:szCs w:val="32"/>
          <w:highlight w:val="none"/>
          <w:lang w:val="en-US" w:eastAsia="zh-CN"/>
        </w:rPr>
        <w:t>99.6</w:t>
      </w:r>
      <w:r>
        <w:rPr>
          <w:rFonts w:hint="eastAsia" w:ascii="仿宋_GB2312" w:hAnsi="仿宋_GB2312" w:cs="仿宋_GB2312"/>
          <w:bCs/>
          <w:szCs w:val="32"/>
          <w:highlight w:val="none"/>
        </w:rPr>
        <w:t>分。全年预算数为</w:t>
      </w:r>
      <w:r>
        <w:rPr>
          <w:rFonts w:hint="eastAsia" w:ascii="仿宋_GB2312" w:hAnsi="仿宋_GB2312" w:cs="仿宋_GB2312"/>
          <w:bCs/>
          <w:szCs w:val="32"/>
          <w:highlight w:val="none"/>
          <w:lang w:val="en-US" w:eastAsia="zh-CN"/>
        </w:rPr>
        <w:t>100</w:t>
      </w:r>
      <w:r>
        <w:rPr>
          <w:rFonts w:hint="eastAsia" w:ascii="仿宋_GB2312" w:hAnsi="仿宋_GB2312" w:cs="仿宋_GB2312"/>
          <w:bCs/>
          <w:szCs w:val="32"/>
          <w:highlight w:val="none"/>
        </w:rPr>
        <w:t>万元，执行数为</w:t>
      </w:r>
      <w:r>
        <w:rPr>
          <w:rFonts w:hint="eastAsia" w:ascii="仿宋_GB2312" w:hAnsi="仿宋_GB2312" w:cs="仿宋_GB2312"/>
          <w:bCs/>
          <w:szCs w:val="32"/>
          <w:highlight w:val="none"/>
          <w:lang w:val="en-US" w:eastAsia="zh-CN"/>
        </w:rPr>
        <w:t>95.72</w:t>
      </w:r>
      <w:r>
        <w:rPr>
          <w:rFonts w:hint="eastAsia" w:ascii="仿宋_GB2312" w:hAnsi="仿宋_GB2312" w:cs="仿宋_GB2312"/>
          <w:bCs/>
          <w:szCs w:val="32"/>
          <w:highlight w:val="none"/>
        </w:rPr>
        <w:t>万元，完成预算的</w:t>
      </w:r>
      <w:r>
        <w:rPr>
          <w:rFonts w:hint="eastAsia" w:ascii="仿宋_GB2312" w:hAnsi="仿宋_GB2312" w:cs="仿宋_GB2312"/>
          <w:bCs/>
          <w:szCs w:val="32"/>
          <w:highlight w:val="none"/>
          <w:lang w:val="en-US" w:eastAsia="zh-CN"/>
        </w:rPr>
        <w:t>95.72</w:t>
      </w:r>
      <w:r>
        <w:rPr>
          <w:rFonts w:hint="eastAsia" w:ascii="仿宋_GB2312" w:hAnsi="仿宋_GB2312" w:cs="仿宋_GB2312"/>
          <w:bCs/>
          <w:szCs w:val="32"/>
          <w:highlight w:val="none"/>
        </w:rPr>
        <w:t>%。非遗展示展演活动-第五届中国非物质文化遗产传统技艺大展期间</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共有全国200个国家级、省级非遗项目，400多位非遗传承人创作的数千件（套）展品参展，以及省内14家博物馆优秀文创产品、全国旅游商品大赛安徽获奖精品展、传统戏剧及民歌展演等参与展示展演，大展参观人数达8万人次，圆满完成了方案确定的各项活动。</w:t>
      </w:r>
    </w:p>
    <w:tbl>
      <w:tblPr>
        <w:tblStyle w:val="5"/>
        <w:tblW w:w="5298" w:type="pct"/>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435"/>
        <w:gridCol w:w="480"/>
        <w:gridCol w:w="3036"/>
        <w:gridCol w:w="810"/>
        <w:gridCol w:w="699"/>
        <w:gridCol w:w="990"/>
        <w:gridCol w:w="576"/>
        <w:gridCol w:w="630"/>
        <w:gridCol w:w="556"/>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nil"/>
              <w:left w:val="nil"/>
              <w:bottom w:val="single" w:color="000000"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第五届中国非物质文化遗产传统技艺大展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黄山市文化和旅游局</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2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95.72</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95.72万元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其中：本年财政拨款</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582" w:firstLineChars="3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上年结转资金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582" w:firstLineChars="3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28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86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1.邀请全国范围内非遗代表性项目传承人来黄现场展示展销。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2.在前四届非遗大展的基础上，创新展览形式，全方位展示非遗传统技艺，促使游客和市民深入了解非遗，普及非遗知识，激发全社会保护非遗的热情。</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10月15-17日，由安徽省人民政府主办，安徽省文化和旅游厅、黄山市人民政府承办的第五届中国非物质文化遗产传统技艺大展在黄山黎阳in巷和黄山不夜城景区举办，共有全国200个国家级、省级非遗项目，400多位非遗传承人创作的数千件（套）展品参展，以及省内14家博物馆优秀文创产品、全国旅游商品大赛安徽获奖精品展、传统戏剧及民歌展演等参与展示展演，大展参观人数达8万人次，圆满完成了方案确定的各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举办非遗展演活动场次</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非遗展演活动现场观众人次</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6万人次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8万人次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展览天数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3天</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3天</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举办非遗展演活动展览面积</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hAnsi="Arial" w:eastAsia="宋体" w:cs="Arial"/>
                <w:i w:val="0"/>
                <w:iCs w:val="0"/>
                <w:color w:val="000000"/>
                <w:sz w:val="20"/>
                <w:szCs w:val="20"/>
                <w:u w:val="none"/>
              </w:rPr>
            </w:pPr>
            <w:r>
              <w:rPr>
                <w:rStyle w:val="19"/>
                <w:rFonts w:eastAsia="宋体"/>
                <w:lang w:val="en-US" w:eastAsia="zh-CN" w:bidi="ar"/>
              </w:rPr>
              <w:t>2000</w:t>
            </w:r>
            <w:r>
              <w:rPr>
                <w:rStyle w:val="18"/>
                <w:lang w:val="en-US" w:eastAsia="zh-CN" w:bidi="ar"/>
              </w:rPr>
              <w:t>平方米</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000000"/>
                <w:sz w:val="20"/>
                <w:szCs w:val="20"/>
                <w:u w:val="none"/>
              </w:rPr>
            </w:pPr>
            <w:r>
              <w:rPr>
                <w:rStyle w:val="19"/>
                <w:rFonts w:eastAsia="宋体"/>
                <w:lang w:val="en-US" w:eastAsia="zh-CN" w:bidi="ar"/>
              </w:rPr>
              <w:t>≥</w:t>
            </w:r>
            <w:r>
              <w:rPr>
                <w:rStyle w:val="18"/>
                <w:lang w:val="en-US" w:eastAsia="zh-CN" w:bidi="ar"/>
              </w:rPr>
              <w:t>2000平方米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全国各省参与数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大展如期举办</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已举办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经费按时拨付</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已拨付</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市级项目资金100万元以内</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95.72万元</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参展传承人现场展示展销</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产生收益</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产生收益</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非遗相关产品种类增长率</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有多提升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有多提升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促进游客和市民深入了解非遗，普及非遗知识</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非遗宣传传播覆盖人群增长率</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徽州文化生态保护区建设宣传传播覆盖人群增长率</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对增强非遗保护传承氛围的影响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对提升非遗社会关注度的影响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对增强徽州文化生态保护区建设氛围的影响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影响深远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产生影响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参展项目传承人满意度</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当地居民与游客对非遗大展的满意度</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393"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90" w:type="pct"/>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99.6</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r>
    </w:tbl>
    <w:p>
      <w:pPr>
        <w:adjustRightInd w:val="0"/>
        <w:snapToGrid w:val="0"/>
        <w:spacing w:line="600" w:lineRule="exact"/>
        <w:rPr>
          <w:rFonts w:hint="eastAsia" w:ascii="仿宋_GB2312" w:hAnsi="仿宋_GB2312" w:cs="仿宋_GB2312"/>
          <w:bCs/>
          <w:szCs w:val="32"/>
          <w:highlight w:val="yellow"/>
        </w:rPr>
      </w:pPr>
    </w:p>
    <w:p>
      <w:pPr>
        <w:adjustRightInd w:val="0"/>
        <w:snapToGrid w:val="0"/>
        <w:spacing w:line="600" w:lineRule="exact"/>
        <w:ind w:firstLine="628" w:firstLineChars="200"/>
        <w:outlineLvl w:val="0"/>
        <w:rPr>
          <w:rFonts w:ascii="黑体" w:hAnsi="黑体" w:eastAsia="黑体"/>
          <w:szCs w:val="32"/>
        </w:rPr>
      </w:pPr>
      <w:r>
        <w:rPr>
          <w:rFonts w:hint="eastAsia" w:ascii="黑体" w:hAnsi="黑体" w:eastAsia="黑体"/>
          <w:szCs w:val="32"/>
        </w:rPr>
        <w:t>第四部分 名词解释</w:t>
      </w:r>
    </w:p>
    <w:p>
      <w:pPr>
        <w:adjustRightInd w:val="0"/>
        <w:snapToGrid w:val="0"/>
        <w:spacing w:line="600" w:lineRule="exact"/>
        <w:ind w:left="425" w:firstLine="201" w:firstLineChars="64"/>
        <w:outlineLvl w:val="1"/>
        <w:rPr>
          <w:rFonts w:hint="eastAsia" w:ascii="仿宋_GB2312" w:hAnsi="仿宋"/>
          <w:szCs w:val="32"/>
        </w:rPr>
      </w:pPr>
      <w:r>
        <w:rPr>
          <w:rFonts w:hint="eastAsia" w:ascii="仿宋_GB2312" w:hAnsi="仿宋"/>
          <w:b/>
          <w:szCs w:val="32"/>
        </w:rPr>
        <w:t>一、财政拨款收入：</w:t>
      </w:r>
      <w:r>
        <w:rPr>
          <w:rFonts w:hint="eastAsia" w:ascii="仿宋_GB2312" w:hAnsi="仿宋"/>
          <w:szCs w:val="32"/>
        </w:rPr>
        <w:t>指单位从同级财政单位取得的财政预算</w:t>
      </w:r>
    </w:p>
    <w:p>
      <w:pPr>
        <w:adjustRightInd w:val="0"/>
        <w:snapToGrid w:val="0"/>
        <w:spacing w:line="600" w:lineRule="exact"/>
        <w:outlineLvl w:val="1"/>
        <w:rPr>
          <w:rFonts w:ascii="仿宋_GB2312" w:hAnsi="仿宋"/>
          <w:szCs w:val="32"/>
        </w:rPr>
      </w:pPr>
      <w:bookmarkStart w:id="0" w:name="_GoBack"/>
      <w:bookmarkEnd w:id="0"/>
      <w:r>
        <w:rPr>
          <w:rFonts w:hint="eastAsia" w:ascii="仿宋_GB2312" w:hAnsi="仿宋"/>
          <w:szCs w:val="32"/>
        </w:rPr>
        <w:t>资金。</w:t>
      </w:r>
    </w:p>
    <w:p>
      <w:pPr>
        <w:adjustRightInd w:val="0"/>
        <w:snapToGrid w:val="0"/>
        <w:spacing w:line="600" w:lineRule="exact"/>
        <w:rPr>
          <w:rFonts w:ascii="仿宋_GB2312" w:hAnsi="黑体"/>
          <w:bCs/>
          <w:szCs w:val="32"/>
        </w:rPr>
      </w:pPr>
      <w:r>
        <w:rPr>
          <w:rFonts w:hint="eastAsia" w:ascii="仿宋_GB2312" w:hAnsi="黑体"/>
          <w:b/>
          <w:szCs w:val="32"/>
        </w:rPr>
        <w:t xml:space="preserve">    二、</w:t>
      </w:r>
      <w:r>
        <w:rPr>
          <w:rFonts w:hint="eastAsia" w:ascii="仿宋_GB2312" w:hAnsi="黑体"/>
          <w:b/>
          <w:bCs/>
          <w:szCs w:val="32"/>
        </w:rPr>
        <w:t>其他收入：</w:t>
      </w:r>
      <w:r>
        <w:rPr>
          <w:rFonts w:hint="eastAsia" w:ascii="仿宋_GB2312" w:hAnsi="黑体"/>
          <w:bCs/>
          <w:szCs w:val="32"/>
        </w:rPr>
        <w:t>指除财政拨款收入、事业收入、上级补助收入、附属单位上缴收入、经营收入以外的各项收</w:t>
      </w:r>
      <w:r>
        <w:rPr>
          <w:rFonts w:hint="eastAsia" w:ascii="仿宋_GB2312" w:hAnsi="仿宋"/>
          <w:szCs w:val="32"/>
        </w:rPr>
        <w:t>入。</w:t>
      </w:r>
    </w:p>
    <w:p>
      <w:pPr>
        <w:pStyle w:val="4"/>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三、年初结转和结余：</w:t>
      </w:r>
      <w:r>
        <w:rPr>
          <w:rFonts w:hint="eastAsia" w:ascii="仿宋_GB2312" w:hAnsi="黑体" w:eastAsia="仿宋_GB2312"/>
          <w:bCs/>
          <w:sz w:val="32"/>
          <w:szCs w:val="32"/>
        </w:rPr>
        <w:t>指以前年度安排、结转到本年仍按原规定用途继续使用的资金。</w:t>
      </w:r>
    </w:p>
    <w:p>
      <w:pPr>
        <w:pStyle w:val="4"/>
        <w:adjustRightInd w:val="0"/>
        <w:snapToGrid w:val="0"/>
        <w:spacing w:before="0" w:beforeAutospacing="0" w:after="0" w:afterAutospacing="0" w:line="600" w:lineRule="exact"/>
        <w:ind w:firstLine="616" w:firstLineChars="196"/>
        <w:rPr>
          <w:rFonts w:ascii="仿宋_GB2312" w:hAnsi="黑体" w:eastAsia="仿宋_GB2312"/>
          <w:b/>
          <w:sz w:val="32"/>
          <w:szCs w:val="32"/>
        </w:rPr>
      </w:pPr>
      <w:r>
        <w:rPr>
          <w:rFonts w:hint="eastAsia" w:ascii="仿宋_GB2312" w:hAnsi="黑体" w:eastAsia="仿宋_GB2312"/>
          <w:b/>
          <w:bCs/>
          <w:sz w:val="32"/>
          <w:szCs w:val="32"/>
        </w:rPr>
        <w:t>四、年末结转和结余：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4"/>
        <w:adjustRightInd w:val="0"/>
        <w:snapToGrid w:val="0"/>
        <w:spacing w:before="0" w:beforeAutospacing="0" w:after="0" w:afterAutospacing="0" w:line="600" w:lineRule="exact"/>
        <w:ind w:firstLine="616" w:firstLineChars="196"/>
        <w:rPr>
          <w:rFonts w:ascii="仿宋_GB2312" w:hAnsi="黑体" w:eastAsia="仿宋_GB2312"/>
          <w:sz w:val="32"/>
          <w:szCs w:val="32"/>
        </w:rPr>
      </w:pPr>
      <w:r>
        <w:rPr>
          <w:rFonts w:hint="eastAsia" w:ascii="仿宋_GB2312" w:hAnsi="黑体" w:eastAsia="仿宋_GB2312"/>
          <w:b/>
          <w:sz w:val="32"/>
          <w:szCs w:val="32"/>
        </w:rPr>
        <w:t>五、基本支出：</w:t>
      </w:r>
      <w:r>
        <w:rPr>
          <w:rFonts w:hint="eastAsia" w:ascii="仿宋_GB2312" w:hAnsi="黑体" w:eastAsia="仿宋_GB2312"/>
          <w:sz w:val="32"/>
          <w:szCs w:val="32"/>
        </w:rPr>
        <w:t>指单位为保障其机构正常运转、完成日常工作任务而发生的人员支出和公用支出。</w:t>
      </w:r>
    </w:p>
    <w:p>
      <w:pPr>
        <w:pStyle w:val="4"/>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六、项目支出：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七、“三公”经费：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4"/>
        <w:spacing w:before="0" w:beforeAutospacing="0" w:after="0" w:afterAutospacing="0" w:line="600" w:lineRule="exact"/>
        <w:ind w:firstLine="616" w:firstLineChars="196"/>
        <w:jc w:val="both"/>
      </w:pPr>
      <w:r>
        <w:rPr>
          <w:rFonts w:hint="eastAsia" w:ascii="仿宋_GB2312" w:hAnsi="黑体" w:eastAsia="仿宋_GB2312"/>
          <w:b/>
          <w:sz w:val="32"/>
          <w:szCs w:val="32"/>
        </w:rPr>
        <w:t>八、机关运行经费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40</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C51F3"/>
    <w:multiLevelType w:val="multilevel"/>
    <w:tmpl w:val="03CC51F3"/>
    <w:lvl w:ilvl="0" w:tentative="0">
      <w:start w:val="1"/>
      <w:numFmt w:val="japaneseCounting"/>
      <w:lvlText w:val="%1、"/>
      <w:lvlJc w:val="left"/>
      <w:pPr>
        <w:ind w:left="1348" w:hanging="720"/>
      </w:pPr>
      <w:rPr>
        <w:rFonts w:hint="default"/>
      </w:rPr>
    </w:lvl>
    <w:lvl w:ilvl="1" w:tentative="0">
      <w:start w:val="1"/>
      <w:numFmt w:val="lowerLetter"/>
      <w:lvlText w:val="%2)"/>
      <w:lvlJc w:val="left"/>
      <w:pPr>
        <w:ind w:left="1468" w:hanging="420"/>
      </w:pPr>
    </w:lvl>
    <w:lvl w:ilvl="2" w:tentative="0">
      <w:start w:val="1"/>
      <w:numFmt w:val="lowerRoman"/>
      <w:lvlText w:val="%3."/>
      <w:lvlJc w:val="right"/>
      <w:pPr>
        <w:ind w:left="1888" w:hanging="420"/>
      </w:pPr>
    </w:lvl>
    <w:lvl w:ilvl="3" w:tentative="0">
      <w:start w:val="1"/>
      <w:numFmt w:val="decimal"/>
      <w:lvlText w:val="%4."/>
      <w:lvlJc w:val="left"/>
      <w:pPr>
        <w:ind w:left="2308" w:hanging="420"/>
      </w:pPr>
    </w:lvl>
    <w:lvl w:ilvl="4" w:tentative="0">
      <w:start w:val="1"/>
      <w:numFmt w:val="lowerLetter"/>
      <w:lvlText w:val="%5)"/>
      <w:lvlJc w:val="left"/>
      <w:pPr>
        <w:ind w:left="2728" w:hanging="420"/>
      </w:pPr>
    </w:lvl>
    <w:lvl w:ilvl="5" w:tentative="0">
      <w:start w:val="1"/>
      <w:numFmt w:val="lowerRoman"/>
      <w:lvlText w:val="%6."/>
      <w:lvlJc w:val="right"/>
      <w:pPr>
        <w:ind w:left="3148" w:hanging="420"/>
      </w:pPr>
    </w:lvl>
    <w:lvl w:ilvl="6" w:tentative="0">
      <w:start w:val="1"/>
      <w:numFmt w:val="decimal"/>
      <w:lvlText w:val="%7."/>
      <w:lvlJc w:val="left"/>
      <w:pPr>
        <w:ind w:left="3568" w:hanging="420"/>
      </w:pPr>
    </w:lvl>
    <w:lvl w:ilvl="7" w:tentative="0">
      <w:start w:val="1"/>
      <w:numFmt w:val="lowerLetter"/>
      <w:lvlText w:val="%8)"/>
      <w:lvlJc w:val="left"/>
      <w:pPr>
        <w:ind w:left="3988" w:hanging="420"/>
      </w:pPr>
    </w:lvl>
    <w:lvl w:ilvl="8" w:tentative="0">
      <w:start w:val="1"/>
      <w:numFmt w:val="lowerRoman"/>
      <w:lvlText w:val="%9."/>
      <w:lvlJc w:val="right"/>
      <w:pPr>
        <w:ind w:left="44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3YjQyZDFhMjhkNmU1NjdlYjA1M2ViMWU0MThjZDUifQ=="/>
  </w:docVars>
  <w:rsids>
    <w:rsidRoot w:val="27D7010C"/>
    <w:rsid w:val="000233D5"/>
    <w:rsid w:val="000411AE"/>
    <w:rsid w:val="00086B74"/>
    <w:rsid w:val="000B12A9"/>
    <w:rsid w:val="000E7F05"/>
    <w:rsid w:val="001043CA"/>
    <w:rsid w:val="00105940"/>
    <w:rsid w:val="001302DE"/>
    <w:rsid w:val="001521AC"/>
    <w:rsid w:val="001E7A28"/>
    <w:rsid w:val="001F7818"/>
    <w:rsid w:val="00226D46"/>
    <w:rsid w:val="002315B9"/>
    <w:rsid w:val="00257D4D"/>
    <w:rsid w:val="002710B8"/>
    <w:rsid w:val="00275D40"/>
    <w:rsid w:val="002E3887"/>
    <w:rsid w:val="00320863"/>
    <w:rsid w:val="00337EC2"/>
    <w:rsid w:val="003512C4"/>
    <w:rsid w:val="00423997"/>
    <w:rsid w:val="00436A4C"/>
    <w:rsid w:val="00446DC3"/>
    <w:rsid w:val="0054603C"/>
    <w:rsid w:val="00551E67"/>
    <w:rsid w:val="005527DF"/>
    <w:rsid w:val="006051F3"/>
    <w:rsid w:val="006643A6"/>
    <w:rsid w:val="006940EC"/>
    <w:rsid w:val="006B334E"/>
    <w:rsid w:val="006B4E0B"/>
    <w:rsid w:val="006C6165"/>
    <w:rsid w:val="007125C4"/>
    <w:rsid w:val="00730002"/>
    <w:rsid w:val="00751296"/>
    <w:rsid w:val="00782B1B"/>
    <w:rsid w:val="0078778A"/>
    <w:rsid w:val="007A2CD5"/>
    <w:rsid w:val="007C6D2C"/>
    <w:rsid w:val="008422F7"/>
    <w:rsid w:val="008B343B"/>
    <w:rsid w:val="008C6C96"/>
    <w:rsid w:val="008E47AD"/>
    <w:rsid w:val="00912627"/>
    <w:rsid w:val="009244C5"/>
    <w:rsid w:val="00934ED1"/>
    <w:rsid w:val="00943986"/>
    <w:rsid w:val="009C7E3C"/>
    <w:rsid w:val="009D33E4"/>
    <w:rsid w:val="009E0012"/>
    <w:rsid w:val="00A7223A"/>
    <w:rsid w:val="00AA0E23"/>
    <w:rsid w:val="00AA7F85"/>
    <w:rsid w:val="00B1135A"/>
    <w:rsid w:val="00B11BC6"/>
    <w:rsid w:val="00BE7E66"/>
    <w:rsid w:val="00BF00CD"/>
    <w:rsid w:val="00C546B9"/>
    <w:rsid w:val="00C56ED4"/>
    <w:rsid w:val="00C775EA"/>
    <w:rsid w:val="00C85512"/>
    <w:rsid w:val="00CC1713"/>
    <w:rsid w:val="00D63763"/>
    <w:rsid w:val="00DA64F9"/>
    <w:rsid w:val="00DB109E"/>
    <w:rsid w:val="00DE6FC8"/>
    <w:rsid w:val="00DF153E"/>
    <w:rsid w:val="00E038D6"/>
    <w:rsid w:val="00EE01B0"/>
    <w:rsid w:val="00EE40AD"/>
    <w:rsid w:val="00F03174"/>
    <w:rsid w:val="00F1257A"/>
    <w:rsid w:val="00F52BF8"/>
    <w:rsid w:val="00FF0587"/>
    <w:rsid w:val="02C97667"/>
    <w:rsid w:val="054F2E34"/>
    <w:rsid w:val="0E911CE0"/>
    <w:rsid w:val="0FF72380"/>
    <w:rsid w:val="10890328"/>
    <w:rsid w:val="1F8B3924"/>
    <w:rsid w:val="20F511C3"/>
    <w:rsid w:val="25C25EB1"/>
    <w:rsid w:val="25E05E00"/>
    <w:rsid w:val="27D7010C"/>
    <w:rsid w:val="2AC3363F"/>
    <w:rsid w:val="2BA73AE0"/>
    <w:rsid w:val="3BA36E7F"/>
    <w:rsid w:val="41127C30"/>
    <w:rsid w:val="46415C90"/>
    <w:rsid w:val="4B2E6FE0"/>
    <w:rsid w:val="503F6741"/>
    <w:rsid w:val="50614BEB"/>
    <w:rsid w:val="5793284C"/>
    <w:rsid w:val="689502C9"/>
    <w:rsid w:val="72157773"/>
    <w:rsid w:val="77B3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 w:type="character" w:customStyle="1" w:styleId="9">
    <w:name w:val="font101"/>
    <w:basedOn w:val="6"/>
    <w:qFormat/>
    <w:uiPriority w:val="0"/>
    <w:rPr>
      <w:rFonts w:hint="eastAsia" w:ascii="宋体" w:hAnsi="宋体" w:eastAsia="宋体" w:cs="宋体"/>
      <w:b/>
      <w:bCs/>
      <w:color w:val="000000"/>
      <w:sz w:val="32"/>
      <w:szCs w:val="32"/>
      <w:u w:val="none"/>
    </w:rPr>
  </w:style>
  <w:style w:type="character" w:customStyle="1" w:styleId="10">
    <w:name w:val="font51"/>
    <w:basedOn w:val="6"/>
    <w:uiPriority w:val="0"/>
    <w:rPr>
      <w:rFonts w:hint="eastAsia" w:ascii="宋体" w:hAnsi="宋体" w:eastAsia="宋体" w:cs="宋体"/>
      <w:color w:val="000000"/>
      <w:sz w:val="32"/>
      <w:szCs w:val="32"/>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 w:type="character" w:customStyle="1" w:styleId="12">
    <w:name w:val="font111"/>
    <w:basedOn w:val="6"/>
    <w:qFormat/>
    <w:uiPriority w:val="0"/>
    <w:rPr>
      <w:rFonts w:hint="eastAsia" w:ascii="宋体" w:hAnsi="宋体" w:eastAsia="宋体" w:cs="宋体"/>
      <w:color w:val="000000"/>
      <w:sz w:val="20"/>
      <w:szCs w:val="20"/>
      <w:u w:val="none"/>
    </w:rPr>
  </w:style>
  <w:style w:type="character" w:customStyle="1" w:styleId="13">
    <w:name w:val="font112"/>
    <w:basedOn w:val="6"/>
    <w:qFormat/>
    <w:uiPriority w:val="0"/>
    <w:rPr>
      <w:rFonts w:hint="eastAsia" w:ascii="宋体" w:hAnsi="宋体" w:eastAsia="宋体" w:cs="宋体"/>
      <w:color w:val="000000"/>
      <w:sz w:val="20"/>
      <w:szCs w:val="20"/>
      <w:u w:val="none"/>
    </w:rPr>
  </w:style>
  <w:style w:type="character" w:customStyle="1" w:styleId="14">
    <w:name w:val="font91"/>
    <w:basedOn w:val="6"/>
    <w:qFormat/>
    <w:uiPriority w:val="0"/>
    <w:rPr>
      <w:rFonts w:hint="eastAsia" w:ascii="宋体" w:hAnsi="宋体" w:eastAsia="宋体" w:cs="宋体"/>
      <w:b/>
      <w:bCs/>
      <w:color w:val="000000"/>
      <w:sz w:val="32"/>
      <w:szCs w:val="32"/>
      <w:u w:val="none"/>
    </w:rPr>
  </w:style>
  <w:style w:type="character" w:customStyle="1" w:styleId="15">
    <w:name w:val="font11"/>
    <w:basedOn w:val="6"/>
    <w:qFormat/>
    <w:uiPriority w:val="0"/>
    <w:rPr>
      <w:rFonts w:hint="eastAsia" w:ascii="宋体" w:hAnsi="宋体" w:eastAsia="宋体" w:cs="宋体"/>
      <w:color w:val="000000"/>
      <w:sz w:val="20"/>
      <w:szCs w:val="20"/>
      <w:u w:val="none"/>
    </w:rPr>
  </w:style>
  <w:style w:type="character" w:customStyle="1" w:styleId="16">
    <w:name w:val="font41"/>
    <w:basedOn w:val="6"/>
    <w:qFormat/>
    <w:uiPriority w:val="0"/>
    <w:rPr>
      <w:rFonts w:hint="eastAsia" w:ascii="宋体" w:hAnsi="宋体" w:eastAsia="宋体" w:cs="宋体"/>
      <w:color w:val="000000"/>
      <w:sz w:val="32"/>
      <w:szCs w:val="32"/>
      <w:u w:val="none"/>
    </w:rPr>
  </w:style>
  <w:style w:type="character" w:customStyle="1" w:styleId="17">
    <w:name w:val="font01"/>
    <w:basedOn w:val="6"/>
    <w:qFormat/>
    <w:uiPriority w:val="0"/>
    <w:rPr>
      <w:rFonts w:hint="eastAsia" w:ascii="宋体" w:hAnsi="宋体" w:eastAsia="宋体" w:cs="宋体"/>
      <w:color w:val="000000"/>
      <w:sz w:val="20"/>
      <w:szCs w:val="20"/>
      <w:u w:val="none"/>
    </w:rPr>
  </w:style>
  <w:style w:type="character" w:customStyle="1" w:styleId="18">
    <w:name w:val="font21"/>
    <w:basedOn w:val="6"/>
    <w:qFormat/>
    <w:uiPriority w:val="0"/>
    <w:rPr>
      <w:rFonts w:hint="eastAsia" w:ascii="宋体" w:hAnsi="宋体" w:eastAsia="宋体" w:cs="宋体"/>
      <w:color w:val="000000"/>
      <w:sz w:val="20"/>
      <w:szCs w:val="20"/>
      <w:u w:val="none"/>
    </w:rPr>
  </w:style>
  <w:style w:type="character" w:customStyle="1" w:styleId="19">
    <w:name w:val="font81"/>
    <w:basedOn w:val="6"/>
    <w:qFormat/>
    <w:uiPriority w:val="0"/>
    <w:rPr>
      <w:rFonts w:hint="default" w:ascii="Arial" w:hAnsi="Arial" w:cs="Arial"/>
      <w:color w:val="000000"/>
      <w:sz w:val="20"/>
      <w:szCs w:val="20"/>
      <w:u w:val="none"/>
    </w:rPr>
  </w:style>
  <w:style w:type="character" w:customStyle="1" w:styleId="20">
    <w:name w:val="font7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15019</Words>
  <Characters>18512</Characters>
  <Lines>124</Lines>
  <Paragraphs>35</Paragraphs>
  <TotalTime>34</TotalTime>
  <ScaleCrop>false</ScaleCrop>
  <LinksUpToDate>false</LinksUpToDate>
  <CharactersWithSpaces>19376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2022-09-08T03:43:00Z</dcterms:created>
  <dc:creator>爱逗黎vera</dc:creator>
  <cp:lastModifiedBy>蟾宫折桂</cp:lastModifiedBy>
  <dcterms:modified xsi:type="dcterms:W3CDTF">2022-09-30T08:26:28Z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4C8F68DF68374498AD5493088C0F0CA2</vt:lpwstr>
  </property>
</Properties>
</file>