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60" w:lineRule="exact"/>
        <w:jc w:val="lef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pStyle w:val="2"/>
        <w:jc w:val="both"/>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关于《黄山市影视（网络微短剧）产业发展扶持政策清单（修订）》（征求意见</w:t>
      </w:r>
      <w:bookmarkStart w:id="2" w:name="_GoBack"/>
      <w:bookmarkEnd w:id="2"/>
      <w:r>
        <w:rPr>
          <w:rFonts w:hint="default" w:ascii="Times New Roman" w:hAnsi="Times New Roman" w:eastAsia="方正小标宋简体" w:cs="Times New Roman"/>
          <w:sz w:val="44"/>
          <w:szCs w:val="44"/>
          <w:lang w:val="en-US" w:eastAsia="zh-CN"/>
        </w:rPr>
        <w:t>稿）的起草说明</w:t>
      </w:r>
    </w:p>
    <w:p>
      <w:pPr>
        <w:keepNext w:val="0"/>
        <w:keepLines w:val="0"/>
        <w:pageBreakBefore w:val="0"/>
        <w:widowControl w:val="0"/>
        <w:kinsoku/>
        <w:overflowPunct/>
        <w:topLinePunct w:val="0"/>
        <w:autoSpaceDE/>
        <w:autoSpaceDN/>
        <w:bidi w:val="0"/>
        <w:spacing w:line="560" w:lineRule="exact"/>
        <w:textAlignment w:val="auto"/>
        <w:outlineLvl w:val="1"/>
        <w:rPr>
          <w:rFonts w:hint="default" w:ascii="Times New Roman" w:hAnsi="Times New Roman" w:eastAsia="黑体" w:cs="Times New Roman"/>
          <w:b w:val="0"/>
          <w:bCs w:val="0"/>
          <w:sz w:val="32"/>
          <w:szCs w:val="32"/>
          <w:lang w:eastAsia="zh-CN"/>
        </w:rPr>
      </w:pPr>
      <w:bookmarkStart w:id="0" w:name="_Toc14284"/>
      <w:bookmarkStart w:id="1" w:name="_Toc24909"/>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1"/>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一、起草背景及过程</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1"/>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为推进影视产业与本地文化、旅游、生态深度融合，打造安徽省影视产业高质量发展的典范城市、中国“全景影棚”，政策配套组在学习落实黄山市网文网游网剧产业发展指挥部有关会议精神、认真研究政策出台一年来兑现情况、深入走访影视（网络微短剧）相关企业、剧组的基础上，针对《黄山市影视（网络微短剧）产业发展扶持政策清单之一（试行）》，拟定了《黄山市影视（网络微短剧）产业发展扶持政策清单（修订）》（征求意见稿）。</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1"/>
        <w:rPr>
          <w:rFonts w:hint="default" w:ascii="Times New Roman" w:hAnsi="Times New Roman" w:eastAsia="黑体" w:cs="Times New Roman"/>
          <w:b w:val="0"/>
          <w:bCs w:val="0"/>
          <w:sz w:val="32"/>
          <w:szCs w:val="32"/>
          <w:lang w:eastAsia="zh-CN"/>
        </w:rPr>
      </w:pPr>
      <w:r>
        <w:rPr>
          <w:rFonts w:hint="default" w:ascii="Times New Roman" w:hAnsi="Times New Roman" w:eastAsia="黑体" w:cs="Times New Roman"/>
          <w:b w:val="0"/>
          <w:bCs w:val="0"/>
          <w:sz w:val="32"/>
          <w:szCs w:val="32"/>
          <w:lang w:eastAsia="zh-CN"/>
        </w:rPr>
        <w:t>二、必要性</w:t>
      </w:r>
    </w:p>
    <w:bookmarkEnd w:id="0"/>
    <w:bookmarkEnd w:id="1"/>
    <w:p>
      <w:pPr>
        <w:keepNext w:val="0"/>
        <w:keepLines w:val="0"/>
        <w:pageBreakBefore w:val="0"/>
        <w:widowControl w:val="0"/>
        <w:kinsoku/>
        <w:overflowPunct/>
        <w:topLinePunct w:val="0"/>
        <w:autoSpaceDE/>
        <w:autoSpaceDN/>
        <w:bidi w:val="0"/>
        <w:spacing w:line="560" w:lineRule="exact"/>
        <w:ind w:firstLine="640" w:firstLineChars="200"/>
        <w:textAlignment w:val="auto"/>
        <w:outlineLvl w:val="1"/>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为深入贯彻落实省委、省政府重要决策部署，推进影视产业与本地文化、旅游、生态深度融合，打造安徽省影视产业高质量发展的典范城市、中国“全景影棚”，开辟产业发展新赛道、新领域，塑造高质量发展新动能、新优势，根据市政府2024年第六十一次常务会议审议结果，2024年9月24日，《黄山市人民政府办公室关于印发黄山市影视（网络微短剧）产业发展扶持政策清单（之一）的通知》（黄政办〔2024〕12 号）发布。截至目前，累计兑现资金338.74万元，其中省级文化强省资金280万元，市级资金35.68万元，区县资金23.06万元，重点支持项目：黄山市影视产业基地建设激励（130万元），微短剧《我朦胧的夏季啊》《念念有茗》《梦笔不能停》奖励各50万元（共150万元）。政策执行大大促进了我市影视（网络微短剧）产业的发展和壮大，出品了一批优秀作品，形成了一批影视基地，集聚了一批专业人才，“黄山”“徽州”IP借势获得更多曝光机会，形成了良好的影视（网络微短剧）生态圈。也应当看到，政策兑现的资金规模效应、引导作用与打造安徽省影视产业高质量发展的典范城市、中国“全景影棚”匹配不佳。为进一步适应影视（网络微短剧）产业发展的新形势、新要求，确保政策红利及时送达受益对象，经全市三网产业发展指挥部研究同意，拟对“政策清单”进行修订完善。</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1"/>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原《</w:t>
      </w:r>
      <w:r>
        <w:rPr>
          <w:rFonts w:hint="default" w:ascii="Times New Roman" w:hAnsi="Times New Roman" w:eastAsia="仿宋_GB2312" w:cs="Times New Roman"/>
          <w:b w:val="0"/>
          <w:bCs w:val="0"/>
          <w:color w:val="auto"/>
          <w:sz w:val="32"/>
          <w:szCs w:val="32"/>
          <w:lang w:val="en" w:eastAsia="zh-CN"/>
        </w:rPr>
        <w:t>政策清单</w:t>
      </w:r>
      <w:r>
        <w:rPr>
          <w:rFonts w:hint="default" w:ascii="Times New Roman" w:hAnsi="Times New Roman" w:eastAsia="仿宋_GB2312" w:cs="Times New Roman"/>
          <w:b w:val="0"/>
          <w:bCs w:val="0"/>
          <w:color w:val="auto"/>
          <w:sz w:val="32"/>
          <w:szCs w:val="32"/>
          <w:lang w:val="en-US" w:eastAsia="zh-CN"/>
        </w:rPr>
        <w:t>》共七个部分20条，新修订后的《政策清单修订稿共》共十个部分24条。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 w:eastAsia="zh-CN"/>
        </w:rPr>
        <w:t>（一）</w:t>
      </w:r>
      <w:r>
        <w:rPr>
          <w:rFonts w:hint="default" w:ascii="Times New Roman" w:hAnsi="Times New Roman" w:eastAsia="楷体_GB2312" w:cs="Times New Roman"/>
          <w:b/>
          <w:bCs/>
          <w:color w:val="auto"/>
          <w:sz w:val="32"/>
          <w:szCs w:val="32"/>
          <w:lang w:val="en-US" w:eastAsia="zh-CN"/>
        </w:rPr>
        <w:t>增加的内容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lang w:val="en-US" w:eastAsia="zh-CN"/>
        </w:rPr>
        <w:t>1.第一部分“补贴基地场景搭建”中新增1条：</w:t>
      </w:r>
      <w:r>
        <w:rPr>
          <w:rFonts w:hint="default" w:ascii="Times New Roman" w:hAnsi="Times New Roman" w:eastAsia="仿宋_GB2312" w:cs="Times New Roman"/>
          <w:b w:val="0"/>
          <w:bCs w:val="0"/>
          <w:color w:val="auto"/>
          <w:sz w:val="32"/>
          <w:szCs w:val="32"/>
          <w:u w:val="none"/>
          <w:lang w:val="en-US" w:eastAsia="zh-CN"/>
        </w:rPr>
        <w:t>“对在本市新搭建的实景，符合黄山影视产业发展规划，具有发展和利用价值、可以满足后期影视文旅融合发展要求，且实际布景投资在100万元及以上的，按照事前申请、事后认定的程序，项目建成认定后给予投资主体投资额的20%布景补贴、单部影视作品最高不超过100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说明：</w:t>
      </w:r>
      <w:r>
        <w:rPr>
          <w:rFonts w:hint="default" w:ascii="Times New Roman" w:hAnsi="Times New Roman" w:eastAsia="仿宋_GB2312" w:cs="Times New Roman"/>
          <w:b w:val="0"/>
          <w:bCs w:val="0"/>
          <w:color w:val="auto"/>
          <w:sz w:val="32"/>
          <w:szCs w:val="32"/>
          <w:lang w:val="en-US" w:eastAsia="zh-CN"/>
        </w:rPr>
        <w:t>鼓励剧组从“影视+产业”融合发展的角度出发，搭建具有发展和利用价值的场景，提高利用水平，让更多的影视基地能够留下来“为我所用”。（</w:t>
      </w:r>
      <w:r>
        <w:rPr>
          <w:rFonts w:hint="default" w:ascii="Times New Roman" w:hAnsi="Times New Roman" w:eastAsia="楷体_GB2312" w:cs="Times New Roman"/>
          <w:b w:val="0"/>
          <w:bCs w:val="0"/>
          <w:color w:val="auto"/>
          <w:sz w:val="32"/>
          <w:szCs w:val="32"/>
          <w:lang w:val="en-US" w:eastAsia="zh-CN"/>
        </w:rPr>
        <w:t>参考：桐庐县提出，符合富春江影视基地总体规划，实景搭建具有发展和利用价值、可以满足后期影视文旅融合发展要求的，给予20%的置景补助，最高补助不超过200万元。</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auto"/>
          <w:sz w:val="32"/>
          <w:szCs w:val="32"/>
          <w:lang w:val="en-US" w:eastAsia="zh-CN"/>
        </w:rPr>
        <w:t>2.第七部分“奖励作品出海”中新增2条</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一是</w:t>
      </w:r>
      <w:r>
        <w:rPr>
          <w:rFonts w:hint="default" w:ascii="Times New Roman" w:hAnsi="Times New Roman" w:eastAsia="仿宋_GB2312" w:cs="Times New Roman"/>
          <w:b w:val="0"/>
          <w:color w:val="000000"/>
          <w:kern w:val="0"/>
          <w:sz w:val="32"/>
          <w:szCs w:val="32"/>
          <w:lang w:val="en-US" w:eastAsia="zh-CN" w:bidi="ar"/>
        </w:rPr>
        <w:t>本市企业出品的网络微短剧作品，获得安徽省广播电视局发放的《网络微短剧节目登记备案号》或《网络剧片发行许可证》，并</w:t>
      </w:r>
      <w:r>
        <w:rPr>
          <w:rFonts w:hint="default" w:ascii="Times New Roman" w:hAnsi="Times New Roman" w:eastAsia="仿宋_GB2312" w:cs="Times New Roman"/>
          <w:b w:val="0"/>
          <w:color w:val="000000"/>
          <w:spacing w:val="0"/>
          <w:kern w:val="0"/>
          <w:sz w:val="32"/>
          <w:szCs w:val="32"/>
          <w:lang w:val="en-US" w:eastAsia="zh-CN" w:bidi="ar"/>
        </w:rPr>
        <w:t>在海外平台播出，具有正确政治导向，传播中国文化、讲好中国故事的，</w:t>
      </w:r>
      <w:r>
        <w:rPr>
          <w:rFonts w:hint="default" w:ascii="Times New Roman" w:hAnsi="Times New Roman" w:eastAsia="仿宋_GB2312" w:cs="Times New Roman"/>
          <w:color w:val="000000"/>
          <w:spacing w:val="0"/>
          <w:kern w:val="0"/>
          <w:sz w:val="32"/>
          <w:szCs w:val="32"/>
          <w:lang w:val="en-US" w:eastAsia="zh-CN" w:bidi="ar"/>
        </w:rPr>
        <w:t>每部最高给予第一出品方20万元一次性奖励。</w:t>
      </w:r>
      <w:r>
        <w:rPr>
          <w:rFonts w:hint="default" w:ascii="Times New Roman" w:hAnsi="Times New Roman" w:eastAsia="仿宋_GB2312" w:cs="Times New Roman"/>
          <w:b/>
          <w:bCs/>
          <w:color w:val="000000"/>
          <w:spacing w:val="0"/>
          <w:kern w:val="0"/>
          <w:sz w:val="32"/>
          <w:szCs w:val="32"/>
          <w:lang w:val="en-US" w:eastAsia="zh-CN" w:bidi="ar"/>
        </w:rPr>
        <w:t>二是</w:t>
      </w:r>
      <w:r>
        <w:rPr>
          <w:rFonts w:hint="default" w:ascii="Times New Roman" w:hAnsi="Times New Roman" w:eastAsia="仿宋_GB2312" w:cs="Times New Roman"/>
          <w:color w:val="000000"/>
          <w:kern w:val="0"/>
          <w:sz w:val="32"/>
          <w:szCs w:val="32"/>
          <w:lang w:val="en-US" w:eastAsia="zh-CN" w:bidi="ar"/>
        </w:rPr>
        <w:t>对市内影视相关文化企业首次认定为国家文化出口重点企业的，给予20万元的一次性奖励。对新认定为国家文化出口重点项目的，给予项目所在企业10万元的一次性奖励。</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000000"/>
          <w:kern w:val="0"/>
          <w:sz w:val="32"/>
          <w:szCs w:val="32"/>
          <w:lang w:val="en-US" w:eastAsia="zh-CN" w:bidi="ar"/>
        </w:rPr>
        <w:t>说明：</w:t>
      </w:r>
      <w:r>
        <w:rPr>
          <w:rFonts w:hint="default" w:ascii="Times New Roman" w:hAnsi="Times New Roman" w:eastAsia="仿宋_GB2312" w:cs="Times New Roman"/>
          <w:color w:val="000000"/>
          <w:kern w:val="0"/>
          <w:sz w:val="32"/>
          <w:szCs w:val="32"/>
          <w:lang w:val="en-US" w:eastAsia="zh-CN" w:bidi="ar"/>
        </w:rPr>
        <w:t>当前，文化“新三样”在海外受众中刮起阵阵“中国风”，各级明确提出要“积极推动网文、网剧、网游文化‘新三样’出海”。我市</w:t>
      </w:r>
      <w:r>
        <w:rPr>
          <w:rFonts w:hint="default" w:ascii="Times New Roman" w:hAnsi="Times New Roman" w:eastAsia="仿宋_GB2312" w:cs="Times New Roman"/>
          <w:color w:val="000000"/>
          <w:kern w:val="0"/>
          <w:sz w:val="32"/>
          <w:szCs w:val="32"/>
          <w:lang w:val="en-US" w:eastAsia="zh-CN" w:bidi="ar"/>
        </w:rPr>
        <w:t>应</w:t>
      </w:r>
      <w:r>
        <w:rPr>
          <w:rFonts w:hint="default" w:ascii="Times New Roman" w:hAnsi="Times New Roman" w:eastAsia="仿宋_GB2312" w:cs="Times New Roman"/>
          <w:color w:val="000000"/>
          <w:kern w:val="0"/>
          <w:sz w:val="32"/>
          <w:szCs w:val="32"/>
          <w:lang w:val="en-US" w:eastAsia="zh-CN" w:bidi="ar"/>
        </w:rPr>
        <w:t>顺应全球文化交流的新趋势，推动文化企业扬帆出海，创造更多的就业机会和经济效益。</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楷体_GB2312" w:cs="Times New Roman"/>
          <w:b w:val="0"/>
          <w:bCs w:val="0"/>
          <w:color w:val="auto"/>
          <w:sz w:val="32"/>
          <w:szCs w:val="32"/>
          <w:lang w:val="en-US" w:eastAsia="zh-CN"/>
        </w:rPr>
        <w:t>参考：江西省支持微短剧“出海”，给予20万元至50万元不等的扶持资金；甘肃陇南市对获得海外版权授权在海外主要平台播出，具有正确政治导向，传播陇南文化，讲好陇南故事的微短剧，给予第一出品方最高5万元的补助。</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3.第八部分“支持重大影视剧组来黄拍摄”中新增1条</w:t>
      </w:r>
      <w:r>
        <w:rPr>
          <w:rFonts w:hint="default" w:ascii="Times New Roman" w:hAnsi="Times New Roman" w:eastAsia="仿宋_GB2312" w:cs="Times New Roman"/>
          <w:b w:val="0"/>
          <w:bCs w:val="0"/>
          <w:color w:val="auto"/>
          <w:sz w:val="32"/>
          <w:szCs w:val="32"/>
          <w:lang w:val="en-US" w:eastAsia="zh-CN"/>
        </w:rPr>
        <w:t>：对在黄山市境内开展摄制工作、实际在地支出超1000万元（含）以上的影视作品，经行政主管部门审核，凭在黄山市境内实际发生的制作配套费用（含服化道、摄录美、场地、器材、交通、食宿、群演等）的发票，给予剧组5%的一次性拍摄补助，每部最高不超过200万。</w:t>
      </w:r>
    </w:p>
    <w:p>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560" w:lineRule="exact"/>
        <w:ind w:left="0" w:right="0" w:firstLine="642" w:firstLineChars="200"/>
        <w:jc w:val="both"/>
        <w:textAlignment w:val="auto"/>
        <w:rPr>
          <w:rFonts w:hint="default" w:ascii="Times New Roman" w:hAnsi="Times New Roman" w:eastAsia="仿宋_GB2312" w:cs="Times New Roman"/>
          <w:b w:val="0"/>
          <w:bCs w:val="0"/>
          <w:color w:val="auto"/>
          <w:sz w:val="32"/>
          <w:szCs w:val="32"/>
          <w:lang w:val="en" w:eastAsia="zh-CN"/>
        </w:rPr>
      </w:pPr>
      <w:r>
        <w:rPr>
          <w:rFonts w:hint="default" w:ascii="Times New Roman" w:hAnsi="Times New Roman" w:eastAsia="仿宋_GB2312" w:cs="Times New Roman"/>
          <w:b/>
          <w:bCs/>
          <w:color w:val="auto"/>
          <w:sz w:val="32"/>
          <w:szCs w:val="32"/>
          <w:lang w:val="en-US" w:eastAsia="zh-CN"/>
        </w:rPr>
        <w:t>说明</w:t>
      </w:r>
      <w:r>
        <w:rPr>
          <w:rFonts w:hint="default" w:ascii="Times New Roman" w:hAnsi="Times New Roman" w:eastAsia="仿宋_GB2312" w:cs="Times New Roman"/>
          <w:b w:val="0"/>
          <w:bCs w:val="0"/>
          <w:color w:val="auto"/>
          <w:sz w:val="32"/>
          <w:szCs w:val="32"/>
          <w:lang w:val="en-US" w:eastAsia="zh-CN"/>
        </w:rPr>
        <w:t>：根据见证影视提供的数据，《家业》剧组在黄拍摄期间直接支出</w:t>
      </w:r>
      <w:r>
        <w:rPr>
          <w:rFonts w:hint="default" w:ascii="Times New Roman" w:hAnsi="Times New Roman" w:eastAsia="仿宋_GB2312" w:cs="Times New Roman"/>
          <w:b w:val="0"/>
          <w:bCs w:val="0"/>
          <w:color w:val="auto"/>
          <w:sz w:val="32"/>
          <w:szCs w:val="32"/>
          <w:lang w:val="en-US" w:eastAsia="zh-CN"/>
        </w:rPr>
        <w:t>近</w:t>
      </w:r>
      <w:r>
        <w:rPr>
          <w:rFonts w:hint="default" w:ascii="Times New Roman" w:hAnsi="Times New Roman" w:eastAsia="仿宋_GB2312" w:cs="Times New Roman"/>
          <w:b w:val="0"/>
          <w:bCs w:val="0"/>
          <w:color w:val="auto"/>
          <w:sz w:val="32"/>
          <w:szCs w:val="32"/>
          <w:lang w:val="en-US" w:eastAsia="zh-CN"/>
        </w:rPr>
        <w:t>7000万元（</w:t>
      </w:r>
      <w:r>
        <w:rPr>
          <w:rFonts w:hint="default" w:ascii="Times New Roman" w:hAnsi="Times New Roman" w:eastAsia="楷体_GB2312" w:cs="Times New Roman"/>
          <w:b w:val="0"/>
          <w:bCs w:val="0"/>
          <w:color w:val="auto"/>
          <w:sz w:val="32"/>
          <w:szCs w:val="32"/>
          <w:lang w:val="en-US" w:eastAsia="zh-CN"/>
        </w:rPr>
        <w:t>其中，见证影视基地实现直接营收2039.34万元、纳税90万元左右；剧组其他支出包括置景、燃油、</w:t>
      </w:r>
      <w:r>
        <w:rPr>
          <w:rFonts w:hint="default" w:ascii="Times New Roman" w:hAnsi="Times New Roman" w:eastAsia="楷体_GB2312" w:cs="Times New Roman"/>
          <w:b w:val="0"/>
          <w:bCs w:val="0"/>
          <w:color w:val="auto"/>
          <w:sz w:val="32"/>
          <w:szCs w:val="32"/>
          <w:lang w:val="en-US" w:eastAsia="zh-CN"/>
        </w:rPr>
        <w:t>食宿</w:t>
      </w:r>
      <w:r>
        <w:rPr>
          <w:rFonts w:hint="default" w:ascii="Times New Roman" w:hAnsi="Times New Roman" w:eastAsia="楷体_GB2312" w:cs="Times New Roman"/>
          <w:b w:val="0"/>
          <w:bCs w:val="0"/>
          <w:color w:val="auto"/>
          <w:sz w:val="32"/>
          <w:szCs w:val="32"/>
          <w:lang w:val="en-US" w:eastAsia="zh-CN"/>
        </w:rPr>
        <w:t>等</w:t>
      </w:r>
      <w:r>
        <w:rPr>
          <w:rFonts w:hint="default" w:ascii="Times New Roman" w:hAnsi="Times New Roman" w:eastAsia="楷体_GB2312" w:cs="Times New Roman"/>
          <w:b w:val="0"/>
          <w:bCs w:val="0"/>
          <w:color w:val="auto"/>
          <w:sz w:val="32"/>
          <w:szCs w:val="32"/>
          <w:lang w:val="en-US" w:eastAsia="zh-CN"/>
        </w:rPr>
        <w:t>近</w:t>
      </w:r>
      <w:r>
        <w:rPr>
          <w:rFonts w:hint="default" w:ascii="Times New Roman" w:hAnsi="Times New Roman" w:eastAsia="楷体_GB2312" w:cs="Times New Roman"/>
          <w:b w:val="0"/>
          <w:bCs w:val="0"/>
          <w:color w:val="auto"/>
          <w:sz w:val="32"/>
          <w:szCs w:val="32"/>
          <w:lang w:val="en-US" w:eastAsia="zh-CN"/>
        </w:rPr>
        <w:t>4900万元</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因此</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一部大剧的拍摄、热播，往往能为当地餐饮、住宿等行业带来显著的积极影响，同时不少游客会“因为一部剧，奔赴一座城”。我们可通过政策优化、服务升级等措施，着力吸引鼓励头部影视企业来黄拍摄制作，</w:t>
      </w:r>
      <w:r>
        <w:rPr>
          <w:rFonts w:hint="default" w:ascii="Times New Roman" w:hAnsi="Times New Roman" w:eastAsia="仿宋_GB2312" w:cs="Times New Roman"/>
          <w:b w:val="0"/>
          <w:bCs w:val="0"/>
          <w:color w:val="auto"/>
          <w:sz w:val="32"/>
          <w:szCs w:val="32"/>
          <w:lang w:val="en-US" w:eastAsia="zh-CN"/>
        </w:rPr>
        <w:t>并</w:t>
      </w:r>
      <w:r>
        <w:rPr>
          <w:rFonts w:hint="default" w:ascii="Times New Roman" w:hAnsi="Times New Roman" w:eastAsia="仿宋_GB2312" w:cs="Times New Roman"/>
          <w:b w:val="0"/>
          <w:bCs w:val="0"/>
          <w:color w:val="auto"/>
          <w:sz w:val="32"/>
          <w:szCs w:val="32"/>
          <w:lang w:val="en-US" w:eastAsia="zh-CN"/>
        </w:rPr>
        <w:t>带动我市旅游、住宿、交通等产业发展。（</w:t>
      </w:r>
      <w:r>
        <w:rPr>
          <w:rFonts w:hint="default" w:ascii="Times New Roman" w:hAnsi="Times New Roman" w:eastAsia="楷体_GB2312" w:cs="Times New Roman"/>
          <w:b w:val="0"/>
          <w:bCs w:val="0"/>
          <w:color w:val="auto"/>
          <w:sz w:val="32"/>
          <w:szCs w:val="32"/>
          <w:lang w:val="en-US" w:eastAsia="zh-CN"/>
        </w:rPr>
        <w:t>参考：重庆市针对在全国任何省区市立项备案的影视项目，既对拍摄阶段发生的服务费用进行补助，也对后期制作阶段的技术服务进行补助，单个项目累计最高补助比例可达35%。如某个影视项目，在重庆产生的影视服务费用达到500万元及以上，可给予制片方20%补助，同时，该项目委托在渝企业为其提供后期技术服务并产生费用达到200万元及以上，还将给予第一出品单位15%补助。）</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 w:eastAsia="zh-CN"/>
        </w:rPr>
        <w:t>（二）</w:t>
      </w:r>
      <w:r>
        <w:rPr>
          <w:rFonts w:hint="default" w:ascii="Times New Roman" w:hAnsi="Times New Roman" w:eastAsia="楷体_GB2312" w:cs="Times New Roman"/>
          <w:b/>
          <w:bCs/>
          <w:color w:val="auto"/>
          <w:sz w:val="32"/>
          <w:szCs w:val="32"/>
          <w:lang w:val="en-US" w:eastAsia="zh-CN"/>
        </w:rPr>
        <w:t>修改的内容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1.第三部分“</w:t>
      </w:r>
      <w:r>
        <w:rPr>
          <w:rFonts w:hint="default" w:ascii="Times New Roman" w:hAnsi="Times New Roman" w:eastAsia="仿宋_GB2312" w:cs="Times New Roman"/>
          <w:b/>
          <w:bCs/>
          <w:color w:val="000000"/>
          <w:kern w:val="0"/>
          <w:sz w:val="32"/>
          <w:szCs w:val="32"/>
          <w:lang w:val="en-US" w:eastAsia="zh-CN" w:bidi="ar"/>
        </w:rPr>
        <w:t>服务、补贴取景拍摄</w:t>
      </w:r>
      <w:r>
        <w:rPr>
          <w:rFonts w:hint="default" w:ascii="Times New Roman" w:hAnsi="Times New Roman" w:eastAsia="仿宋_GB2312" w:cs="Times New Roman"/>
          <w:b/>
          <w:bCs/>
          <w:color w:val="auto"/>
          <w:sz w:val="32"/>
          <w:szCs w:val="32"/>
          <w:lang w:val="en-US" w:eastAsia="zh-CN"/>
        </w:rPr>
        <w:t>”中的第6条：</w:t>
      </w:r>
      <w:r>
        <w:rPr>
          <w:rFonts w:hint="default" w:ascii="Times New Roman" w:hAnsi="Times New Roman" w:eastAsia="仿宋_GB2312" w:cs="Times New Roman"/>
          <w:b w:val="0"/>
          <w:bCs w:val="0"/>
          <w:color w:val="auto"/>
          <w:sz w:val="32"/>
          <w:szCs w:val="32"/>
          <w:lang w:val="en-US" w:eastAsia="zh-CN"/>
        </w:rPr>
        <w:t>对来黄拍摄剧组的奖励比例由一刀切的</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30%”改为“不超过30%”，每部剧奖补限额由“最高不超过3万元”改为“最高不超过20万元”。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说明</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开展梯度奖补，</w:t>
      </w:r>
      <w:r>
        <w:rPr>
          <w:rFonts w:hint="default" w:ascii="Times New Roman" w:hAnsi="Times New Roman" w:eastAsia="仿宋_GB2312" w:cs="Times New Roman"/>
          <w:b w:val="0"/>
          <w:bCs w:val="0"/>
          <w:color w:val="auto"/>
          <w:sz w:val="32"/>
          <w:szCs w:val="32"/>
          <w:lang w:val="en-US" w:eastAsia="zh-CN"/>
        </w:rPr>
        <w:t>在实施细则中明确对在黄山市境内开展摄制工作、实际在地支出1000万元以下的影视作品适用本条，与第八部分“支持重大影视剧组来黄拍摄”衔接。根据费用设定奖补比例，食宿费用在100万元（含）以上的，给予剧组10%拍摄补助，最高不超过20万元</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食宿费用在50万元（含）至100万元（不含）的，给予剧组20%拍摄补助，最高不超过10万元；食宿费用在50万元以下的，给予剧组30%拍摄补助，最高不超过5万元。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2.第三部分“</w:t>
      </w:r>
      <w:r>
        <w:rPr>
          <w:rFonts w:hint="default" w:ascii="Times New Roman" w:hAnsi="Times New Roman" w:eastAsia="仿宋_GB2312" w:cs="Times New Roman"/>
          <w:b/>
          <w:bCs/>
          <w:color w:val="000000"/>
          <w:kern w:val="0"/>
          <w:sz w:val="32"/>
          <w:szCs w:val="32"/>
          <w:lang w:val="en-US" w:eastAsia="zh-CN" w:bidi="ar"/>
        </w:rPr>
        <w:t>服务、补贴取景拍摄</w:t>
      </w:r>
      <w:r>
        <w:rPr>
          <w:rFonts w:hint="default" w:ascii="Times New Roman" w:hAnsi="Times New Roman" w:eastAsia="仿宋_GB2312" w:cs="Times New Roman"/>
          <w:b/>
          <w:bCs/>
          <w:color w:val="auto"/>
          <w:sz w:val="32"/>
          <w:szCs w:val="32"/>
          <w:lang w:val="en-US" w:eastAsia="zh-CN"/>
        </w:rPr>
        <w:t>”中的第7条</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对本市影视企业在黄山市境内开展拍摄制作工作不再区分横屏和竖屏进行奖补，以20万制作配套费用为底线，给予拍摄制作方不超过15%的一次性补贴，每部最高不超过50万元。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说明：</w:t>
      </w:r>
      <w:r>
        <w:rPr>
          <w:rFonts w:hint="default" w:ascii="Times New Roman" w:hAnsi="Times New Roman" w:eastAsia="仿宋_GB2312" w:cs="Times New Roman"/>
          <w:b w:val="0"/>
          <w:bCs w:val="0"/>
          <w:color w:val="auto"/>
          <w:sz w:val="32"/>
          <w:szCs w:val="32"/>
          <w:lang w:val="en-US" w:eastAsia="zh-CN"/>
        </w:rPr>
        <w:t>实施梯度奖补，</w:t>
      </w:r>
      <w:r>
        <w:rPr>
          <w:rFonts w:hint="default" w:ascii="Times New Roman" w:hAnsi="Times New Roman" w:eastAsia="仿宋_GB2312" w:cs="Times New Roman"/>
          <w:b w:val="0"/>
          <w:bCs w:val="0"/>
          <w:color w:val="auto"/>
          <w:sz w:val="32"/>
          <w:szCs w:val="32"/>
          <w:lang w:val="en-US" w:eastAsia="zh-CN"/>
        </w:rPr>
        <w:t>在实施细则中明确根据制作费用设定奖补比例，制作费用在100万元（含）以上的，给予拍摄制作方10%拍摄补助，最高不超过50万元</w:t>
      </w:r>
      <w:r>
        <w:rPr>
          <w:rFonts w:hint="default"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制作费用在20万元（含）至100万元（不含）的，给予拍摄制作方15%拍摄补助，最高不超过10万元。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3.第四部分“</w:t>
      </w:r>
      <w:r>
        <w:rPr>
          <w:rFonts w:hint="default" w:ascii="Times New Roman" w:hAnsi="Times New Roman" w:eastAsia="仿宋_GB2312" w:cs="Times New Roman"/>
          <w:b/>
          <w:bCs/>
          <w:color w:val="000000"/>
          <w:kern w:val="0"/>
          <w:sz w:val="32"/>
          <w:szCs w:val="32"/>
          <w:lang w:val="en-US" w:eastAsia="zh-CN" w:bidi="ar"/>
        </w:rPr>
        <w:t>鼓励企业落户、做强做大</w:t>
      </w:r>
      <w:r>
        <w:rPr>
          <w:rFonts w:hint="default" w:ascii="Times New Roman" w:hAnsi="Times New Roman" w:eastAsia="仿宋_GB2312" w:cs="Times New Roman"/>
          <w:b/>
          <w:bCs/>
          <w:color w:val="auto"/>
          <w:sz w:val="32"/>
          <w:szCs w:val="32"/>
          <w:lang w:val="en-US" w:eastAsia="zh-CN"/>
        </w:rPr>
        <w:t>”中的第8条：</w:t>
      </w:r>
      <w:r>
        <w:rPr>
          <w:rFonts w:hint="default" w:ascii="Times New Roman" w:hAnsi="Times New Roman" w:eastAsia="仿宋_GB2312" w:cs="Times New Roman"/>
          <w:b w:val="0"/>
          <w:bCs w:val="0"/>
          <w:color w:val="auto"/>
          <w:sz w:val="32"/>
          <w:szCs w:val="32"/>
          <w:lang w:val="en-US" w:eastAsia="zh-CN"/>
        </w:rPr>
        <w:t>新增“以免租提供办公场所等其他方式给予支持”内容，丰富租金补贴的形式，满足部分区县发挥闲置国有场所作用的诉求。</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2"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4.第四部分“</w:t>
      </w:r>
      <w:r>
        <w:rPr>
          <w:rFonts w:hint="default" w:ascii="Times New Roman" w:hAnsi="Times New Roman" w:eastAsia="仿宋_GB2312" w:cs="Times New Roman"/>
          <w:b/>
          <w:bCs/>
          <w:color w:val="000000"/>
          <w:kern w:val="0"/>
          <w:sz w:val="32"/>
          <w:szCs w:val="32"/>
          <w:lang w:val="en-US" w:eastAsia="zh-CN" w:bidi="ar"/>
        </w:rPr>
        <w:t>鼓励企业落户、做强做大</w:t>
      </w:r>
      <w:r>
        <w:rPr>
          <w:rFonts w:hint="default" w:ascii="Times New Roman" w:hAnsi="Times New Roman" w:eastAsia="仿宋_GB2312" w:cs="Times New Roman"/>
          <w:b/>
          <w:bCs/>
          <w:color w:val="auto"/>
          <w:sz w:val="32"/>
          <w:szCs w:val="32"/>
          <w:lang w:val="en-US" w:eastAsia="zh-CN"/>
        </w:rPr>
        <w:t>”中的第11条：</w:t>
      </w:r>
      <w:r>
        <w:rPr>
          <w:rFonts w:hint="default" w:ascii="Times New Roman" w:hAnsi="Times New Roman" w:eastAsia="仿宋_GB2312" w:cs="Times New Roman"/>
          <w:b w:val="0"/>
          <w:bCs w:val="0"/>
          <w:color w:val="auto"/>
          <w:sz w:val="32"/>
          <w:szCs w:val="32"/>
          <w:lang w:val="en-US" w:eastAsia="zh-CN"/>
        </w:rPr>
        <w:t>对本市年营业收入、增速、员工缴纳社保、信用等综合评价良好的影视（网络微短剧）企业</w:t>
      </w:r>
      <w:r>
        <w:rPr>
          <w:rFonts w:hint="default" w:ascii="Times New Roman" w:hAnsi="Times New Roman" w:eastAsia="仿宋_GB2312" w:cs="Times New Roman"/>
          <w:b w:val="0"/>
          <w:bCs w:val="0"/>
          <w:color w:val="auto"/>
          <w:sz w:val="32"/>
          <w:szCs w:val="32"/>
          <w:lang w:val="en-US" w:eastAsia="zh-CN"/>
        </w:rPr>
        <w:t>的奖补额度由“奖励5万元至10万元”改为“给予不超过10万元的奖励”，不设定最低奖补标准，满足部分区县最低奖补标准未达到5万元的诉求。</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auto"/>
          <w:sz w:val="32"/>
          <w:szCs w:val="32"/>
          <w:lang w:val="en-US" w:eastAsia="zh-CN"/>
        </w:rPr>
        <w:t>5.第五部分</w:t>
      </w:r>
      <w:r>
        <w:rPr>
          <w:rFonts w:hint="default" w:ascii="Times New Roman" w:hAnsi="Times New Roman" w:eastAsia="仿宋_GB2312" w:cs="Times New Roman"/>
          <w:b/>
          <w:bCs/>
          <w:color w:val="000000"/>
          <w:kern w:val="0"/>
          <w:sz w:val="32"/>
          <w:szCs w:val="32"/>
          <w:lang w:val="en-US" w:eastAsia="zh-CN" w:bidi="ar"/>
        </w:rPr>
        <w:t>“鼓励优秀作品”中的第13、14、15条：</w:t>
      </w:r>
      <w:r>
        <w:rPr>
          <w:rFonts w:hint="default" w:ascii="Times New Roman" w:hAnsi="Times New Roman" w:eastAsia="仿宋_GB2312" w:cs="Times New Roman"/>
          <w:b w:val="0"/>
          <w:bCs w:val="0"/>
          <w:color w:val="000000"/>
          <w:kern w:val="0"/>
          <w:sz w:val="32"/>
          <w:szCs w:val="32"/>
          <w:lang w:val="en-US" w:eastAsia="zh-CN" w:bidi="ar"/>
        </w:rPr>
        <w:t>在原条款基础上新增优秀作品创作奖励，对优秀作品给予剧本版权所有人给予2万元或者5万元一次性奖励。</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2" w:firstLineChars="200"/>
        <w:jc w:val="both"/>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说明</w:t>
      </w:r>
      <w:r>
        <w:rPr>
          <w:rFonts w:hint="default" w:ascii="Times New Roman" w:hAnsi="Times New Roman" w:eastAsia="仿宋_GB2312" w:cs="Times New Roman"/>
          <w:b w:val="0"/>
          <w:bCs w:val="0"/>
          <w:color w:val="000000"/>
          <w:kern w:val="0"/>
          <w:sz w:val="32"/>
          <w:szCs w:val="32"/>
          <w:lang w:val="en-US" w:eastAsia="zh-CN" w:bidi="ar"/>
        </w:rPr>
        <w:t>：优秀剧本本身就是优秀作品的一种类型，不再单设奖补板块。同时考虑优秀剧本鉴定的复杂性、公平性、权威性，建议以国家、省级表彰的优秀影视（网络微短剧）作品为基准。（</w:t>
      </w:r>
      <w:r>
        <w:rPr>
          <w:rFonts w:hint="default" w:ascii="Times New Roman" w:hAnsi="Times New Roman" w:eastAsia="楷体_GB2312" w:cs="Times New Roman"/>
          <w:b w:val="0"/>
          <w:bCs w:val="0"/>
          <w:color w:val="auto"/>
          <w:sz w:val="32"/>
          <w:szCs w:val="32"/>
          <w:u w:val="none"/>
          <w:lang w:val="en-US" w:eastAsia="zh-CN"/>
        </w:rPr>
        <w:t>参考：</w:t>
      </w:r>
      <w:r>
        <w:rPr>
          <w:rFonts w:hint="default" w:ascii="Times New Roman" w:hAnsi="Times New Roman" w:eastAsia="楷体_GB2312" w:cs="Times New Roman"/>
          <w:b w:val="0"/>
          <w:bCs w:val="0"/>
          <w:color w:val="auto"/>
          <w:sz w:val="32"/>
          <w:szCs w:val="32"/>
          <w:u w:val="none"/>
          <w:lang w:val="en-US" w:eastAsia="zh-CN"/>
        </w:rPr>
        <w:t>杭州市</w:t>
      </w:r>
      <w:r>
        <w:rPr>
          <w:rFonts w:hint="default" w:ascii="Times New Roman" w:hAnsi="Times New Roman" w:eastAsia="楷体_GB2312" w:cs="Times New Roman"/>
          <w:b w:val="0"/>
          <w:bCs w:val="0"/>
          <w:color w:val="auto"/>
          <w:sz w:val="32"/>
          <w:szCs w:val="32"/>
          <w:u w:val="none"/>
          <w:lang w:val="en-US" w:eastAsia="zh-CN"/>
        </w:rPr>
        <w:t>临平区，编剧的原创剧本改编成微短剧后，成功纳入国家广播电视总局、浙江省文化广电和旅游厅等单位优秀网络视听作品推选活动，或获得其他国家部委、省市相关政府奖项，给予编剧一定金额创作奖励。</w:t>
      </w:r>
      <w:r>
        <w:rPr>
          <w:rFonts w:hint="default"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6.第九部分“加强金融基金支持”中的第20条：</w:t>
      </w:r>
      <w:r>
        <w:rPr>
          <w:rFonts w:hint="default" w:ascii="Times New Roman" w:hAnsi="Times New Roman" w:eastAsia="仿宋_GB2312" w:cs="Times New Roman"/>
          <w:b w:val="0"/>
          <w:bCs w:val="0"/>
          <w:color w:val="000000"/>
          <w:kern w:val="0"/>
          <w:sz w:val="32"/>
          <w:szCs w:val="32"/>
          <w:lang w:val="en-US" w:eastAsia="zh-CN" w:bidi="ar"/>
        </w:rPr>
        <w:t>列举</w:t>
      </w:r>
      <w:r>
        <w:rPr>
          <w:rFonts w:hint="default" w:ascii="Times New Roman" w:hAnsi="Times New Roman" w:eastAsia="仿宋_GB2312" w:cs="Times New Roman"/>
          <w:b w:val="0"/>
          <w:bCs w:val="0"/>
          <w:color w:val="000000"/>
          <w:kern w:val="0"/>
          <w:sz w:val="32"/>
          <w:szCs w:val="32"/>
          <w:lang w:val="en-US" w:eastAsia="zh-CN" w:bidi="ar"/>
        </w:rPr>
        <w:t>“影视贷”“版权贷”等特色金融产品</w:t>
      </w:r>
      <w:r>
        <w:rPr>
          <w:rFonts w:hint="default"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7.第十部分“其他”中的第22条：</w:t>
      </w:r>
      <w:r>
        <w:rPr>
          <w:rFonts w:hint="default" w:ascii="Times New Roman" w:hAnsi="Times New Roman" w:eastAsia="仿宋_GB2312" w:cs="Times New Roman"/>
          <w:b w:val="0"/>
          <w:bCs w:val="0"/>
          <w:color w:val="000000"/>
          <w:kern w:val="0"/>
          <w:sz w:val="32"/>
          <w:szCs w:val="32"/>
          <w:lang w:val="en-US" w:eastAsia="zh-CN" w:bidi="ar"/>
        </w:rPr>
        <w:t>将“本政策措施涉及的对同一项目、同一企业符合多个奖补条件，或与本地（含市本级和各区县、黄山高新区等）其他奖补政策重叠，按就高不重复原则兑现”改为“</w:t>
      </w:r>
      <w:r>
        <w:rPr>
          <w:rFonts w:hint="default" w:ascii="Times New Roman" w:hAnsi="Times New Roman" w:eastAsia="仿宋_GB2312" w:cs="Times New Roman"/>
          <w:b w:val="0"/>
          <w:bCs w:val="0"/>
          <w:color w:val="000000"/>
          <w:kern w:val="0"/>
          <w:sz w:val="32"/>
          <w:szCs w:val="32"/>
          <w:lang w:val="en-US" w:eastAsia="zh-CN" w:bidi="ar"/>
        </w:rPr>
        <w:t>同一事项仅受理一家申报主体，同一主体同一事项享受市级多项政策扶持的，按就高不重复原则执行</w:t>
      </w:r>
      <w:r>
        <w:rPr>
          <w:rFonts w:hint="default"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说明</w:t>
      </w:r>
      <w:r>
        <w:rPr>
          <w:rFonts w:hint="default" w:ascii="Times New Roman" w:hAnsi="Times New Roman" w:eastAsia="仿宋_GB2312" w:cs="Times New Roman"/>
          <w:b w:val="0"/>
          <w:bCs w:val="0"/>
          <w:color w:val="000000"/>
          <w:kern w:val="0"/>
          <w:sz w:val="32"/>
          <w:szCs w:val="32"/>
          <w:lang w:val="en-US" w:eastAsia="zh-CN" w:bidi="ar"/>
        </w:rPr>
        <w:t>：部门区县、企业表示原条款在执行中存在歧义，限制了企业申报项目的积极性，而修改后的条款则允许申报主体同一项目在本政策范围内可以享受所有申报条款，但市内若有</w:t>
      </w:r>
      <w:r>
        <w:rPr>
          <w:rFonts w:hint="default" w:ascii="Times New Roman" w:hAnsi="Times New Roman" w:eastAsia="仿宋_GB2312" w:cs="Times New Roman"/>
          <w:b w:val="0"/>
          <w:bCs w:val="0"/>
          <w:color w:val="000000"/>
          <w:kern w:val="0"/>
          <w:sz w:val="32"/>
          <w:szCs w:val="32"/>
          <w:lang w:val="en-US" w:eastAsia="zh-CN" w:bidi="ar"/>
        </w:rPr>
        <w:t>多项政策扶持的，按就高不重复原则执行</w:t>
      </w:r>
      <w:r>
        <w:rPr>
          <w:rFonts w:hint="default"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8.第十部分“其他”中的第23条</w:t>
      </w:r>
      <w:r>
        <w:rPr>
          <w:rFonts w:hint="default" w:ascii="Times New Roman" w:hAnsi="Times New Roman" w:eastAsia="仿宋_GB2312" w:cs="Times New Roman"/>
          <w:b w:val="0"/>
          <w:bCs w:val="0"/>
          <w:color w:val="000000"/>
          <w:kern w:val="0"/>
          <w:sz w:val="32"/>
          <w:szCs w:val="32"/>
          <w:lang w:val="en-US" w:eastAsia="zh-CN" w:bidi="ar"/>
        </w:rPr>
        <w:t>：</w:t>
      </w:r>
      <w:r>
        <w:rPr>
          <w:rFonts w:hint="default" w:ascii="Times New Roman" w:hAnsi="Times New Roman" w:eastAsia="仿宋_GB2312" w:cs="Times New Roman"/>
          <w:b w:val="0"/>
          <w:bCs w:val="0"/>
          <w:color w:val="000000"/>
          <w:kern w:val="0"/>
          <w:sz w:val="32"/>
          <w:szCs w:val="32"/>
          <w:lang w:val="en-US" w:eastAsia="zh-CN" w:bidi="ar"/>
        </w:rPr>
        <w:t>改为“</w:t>
      </w:r>
      <w:r>
        <w:rPr>
          <w:rFonts w:hint="default" w:ascii="Times New Roman" w:hAnsi="Times New Roman" w:eastAsia="仿宋_GB2312" w:cs="Times New Roman"/>
          <w:b w:val="0"/>
          <w:bCs w:val="0"/>
          <w:color w:val="000000"/>
          <w:kern w:val="0"/>
          <w:sz w:val="32"/>
          <w:szCs w:val="32"/>
          <w:lang w:val="en-US" w:eastAsia="zh-CN" w:bidi="ar"/>
        </w:rPr>
        <w:t>在本市注册的相关影视企业实施的重大影视产业项目，上述政策不能覆盖的，另行研究</w:t>
      </w:r>
      <w:r>
        <w:rPr>
          <w:rFonts w:hint="default"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val="0"/>
        <w:suppressLineNumbers w:val="0"/>
        <w:kinsoku/>
        <w:wordWrap w:val="0"/>
        <w:overflowPunct/>
        <w:topLinePunct w:val="0"/>
        <w:autoSpaceDE/>
        <w:autoSpaceDN/>
        <w:bidi w:val="0"/>
        <w:adjustRightInd w:val="0"/>
        <w:snapToGrid w:val="0"/>
        <w:spacing w:line="560" w:lineRule="exact"/>
        <w:ind w:firstLine="642" w:firstLineChars="200"/>
        <w:jc w:val="both"/>
        <w:textAlignment w:val="auto"/>
        <w:rPr>
          <w:rFonts w:hint="default" w:ascii="Times New Roman" w:hAnsi="Times New Roman" w:eastAsia="仿宋_GB2312" w:cs="Times New Roman"/>
          <w:b w:val="0"/>
          <w:bCs w:val="0"/>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说明</w:t>
      </w:r>
      <w:r>
        <w:rPr>
          <w:rFonts w:hint="default" w:ascii="Times New Roman" w:hAnsi="Times New Roman" w:eastAsia="仿宋_GB2312" w:cs="Times New Roman"/>
          <w:b w:val="0"/>
          <w:bCs w:val="0"/>
          <w:color w:val="000000"/>
          <w:kern w:val="0"/>
          <w:sz w:val="32"/>
          <w:szCs w:val="32"/>
          <w:lang w:val="en-US" w:eastAsia="zh-CN" w:bidi="ar"/>
        </w:rPr>
        <w:t>：新修订的政策对来黄拍摄制作的剧组已给予政策奖补支持，但对本地影视企业实施</w:t>
      </w:r>
      <w:r>
        <w:rPr>
          <w:rFonts w:hint="default" w:ascii="Times New Roman" w:hAnsi="Times New Roman" w:eastAsia="仿宋_GB2312" w:cs="Times New Roman"/>
          <w:b w:val="0"/>
          <w:bCs w:val="0"/>
          <w:color w:val="000000"/>
          <w:kern w:val="0"/>
          <w:sz w:val="32"/>
          <w:szCs w:val="32"/>
          <w:lang w:val="en-US" w:eastAsia="zh-CN" w:bidi="ar"/>
        </w:rPr>
        <w:t>重大影视产业项目</w:t>
      </w:r>
      <w:r>
        <w:rPr>
          <w:rFonts w:hint="default" w:ascii="Times New Roman" w:hAnsi="Times New Roman" w:eastAsia="仿宋_GB2312" w:cs="Times New Roman"/>
          <w:b w:val="0"/>
          <w:bCs w:val="0"/>
          <w:color w:val="000000"/>
          <w:kern w:val="0"/>
          <w:sz w:val="32"/>
          <w:szCs w:val="32"/>
          <w:lang w:val="en-US" w:eastAsia="zh-CN" w:bidi="ar"/>
        </w:rPr>
        <w:t>没有特别提出。因此，可通过“一事一议”，既能推动头部影视相关企业落户黄山，也可鼓励本地有能力的影视企业尝试大剧的拍摄制作。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楷体_GB2312" w:cs="Times New Roman"/>
          <w:b/>
          <w:bCs/>
          <w:color w:val="auto"/>
          <w:sz w:val="32"/>
          <w:szCs w:val="32"/>
          <w:u w:val="none"/>
          <w:lang w:val="en-US" w:eastAsia="zh-CN"/>
        </w:rPr>
      </w:pPr>
      <w:r>
        <w:rPr>
          <w:rFonts w:hint="default" w:ascii="Times New Roman" w:hAnsi="Times New Roman" w:eastAsia="楷体_GB2312" w:cs="Times New Roman"/>
          <w:b/>
          <w:bCs/>
          <w:color w:val="auto"/>
          <w:sz w:val="32"/>
          <w:szCs w:val="32"/>
          <w:u w:val="none"/>
          <w:lang w:val="en-US" w:eastAsia="zh-CN"/>
        </w:rPr>
        <w:t>（三）调整的内容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bCs/>
          <w:color w:val="auto"/>
          <w:sz w:val="32"/>
          <w:szCs w:val="32"/>
          <w:u w:val="none"/>
          <w:lang w:val="en-US" w:eastAsia="zh-CN"/>
        </w:rPr>
        <w:t>第六部分“鼓励发行播映”中第16条</w:t>
      </w:r>
      <w:r>
        <w:rPr>
          <w:rFonts w:hint="default" w:ascii="Times New Roman" w:hAnsi="Times New Roman" w:eastAsia="仿宋_GB2312" w:cs="Times New Roman"/>
          <w:b w:val="0"/>
          <w:bCs w:val="0"/>
          <w:color w:val="auto"/>
          <w:sz w:val="32"/>
          <w:szCs w:val="32"/>
          <w:u w:val="none"/>
          <w:lang w:val="en-US" w:eastAsia="zh-CN"/>
        </w:rPr>
        <w:t>：从原来的“优秀作品”中单列出来作为一部分，奖补标准和方式不变，专项鼓励影视企业做好作品的发行播映工作，</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1"/>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三、修订依据</w:t>
      </w:r>
    </w:p>
    <w:p>
      <w:pPr>
        <w:keepNext w:val="0"/>
        <w:keepLines w:val="0"/>
        <w:pageBreakBefore w:val="0"/>
        <w:widowControl w:val="0"/>
        <w:kinsoku/>
        <w:overflowPunct/>
        <w:topLinePunct w:val="0"/>
        <w:autoSpaceDE/>
        <w:autoSpaceDN/>
        <w:bidi w:val="0"/>
        <w:spacing w:line="560" w:lineRule="exact"/>
        <w:ind w:firstLine="640" w:firstLineChars="200"/>
        <w:textAlignment w:val="auto"/>
        <w:outlineLvl w:val="1"/>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根据《国务院办公厅关于促进电影产业繁荣发展的指导意见》（国办发〔2010〕9号）、《中华人民共和国电影产业促进法》（2017年3月1日）、《国家广播电视总局关于推动广播电视和网络视听产业高质量发展的意见》（广电发〔2019〕74号）、《国家电影局等关于促进影视基地规范健康发展的意见》（国影发〔2022〕1号）、《“十四五”中国电视剧发展规划》（广电发〔2022〕9号）、《国家广播电视总局关于推动短剧创作繁荣发展的意见》（广电发〔2022〕67号）、《国家广播电视总局办公厅关于进一步统筹发展和安全促进网络微短剧行业健康繁荣发展的通知》（广电办发〔2024〕35号）、《国务院关于促进服务消费高质量发展的意见》（国发〔2024〕18号）、《黄山市人民政府办公室关于印发黄山市影视（网络微短剧）产业发展行动计划（2024—2026年）的通知》（黄政办秘〔2024〕37号）等有关法律法规及政策，结合我市实际，对“政策清单”进行修改。</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ambria">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汉仪仿宋S">
    <w:panose1 w:val="00020600040101000101"/>
    <w:charset w:val="86"/>
    <w:family w:val="auto"/>
    <w:pitch w:val="default"/>
    <w:sig w:usb0="A00002BF" w:usb1="38CF7CFA" w:usb2="00000016" w:usb3="00000000" w:csb0="0004009F" w:csb1="00000000"/>
  </w:font>
  <w:font w:name="微软雅黑">
    <w:panose1 w:val="020B0503020204020204"/>
    <w:charset w:val="86"/>
    <w:family w:val="auto"/>
    <w:pitch w:val="default"/>
    <w:sig w:usb0="80000287" w:usb1="2A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wNDIyMzlhZTgxOWU0MjRjMWY2NTJlMTZjZTU5NjEifQ=="/>
  </w:docVars>
  <w:rsids>
    <w:rsidRoot w:val="00563B8C"/>
    <w:rsid w:val="000A294E"/>
    <w:rsid w:val="000F74C1"/>
    <w:rsid w:val="0010305A"/>
    <w:rsid w:val="00342A4A"/>
    <w:rsid w:val="00493F42"/>
    <w:rsid w:val="004A5B45"/>
    <w:rsid w:val="004D7BFE"/>
    <w:rsid w:val="00536A93"/>
    <w:rsid w:val="00563B8C"/>
    <w:rsid w:val="005A127D"/>
    <w:rsid w:val="006C26A4"/>
    <w:rsid w:val="006C7947"/>
    <w:rsid w:val="006D02D0"/>
    <w:rsid w:val="007E1C67"/>
    <w:rsid w:val="008E16D6"/>
    <w:rsid w:val="00900128"/>
    <w:rsid w:val="0092719E"/>
    <w:rsid w:val="00B859A8"/>
    <w:rsid w:val="00C45052"/>
    <w:rsid w:val="00F34851"/>
    <w:rsid w:val="06F64997"/>
    <w:rsid w:val="13AFFA02"/>
    <w:rsid w:val="15D91E10"/>
    <w:rsid w:val="21A459A9"/>
    <w:rsid w:val="2F6BBE3E"/>
    <w:rsid w:val="2F8146AF"/>
    <w:rsid w:val="39C51AB6"/>
    <w:rsid w:val="3C6E2817"/>
    <w:rsid w:val="3FBE9CB2"/>
    <w:rsid w:val="475FA12E"/>
    <w:rsid w:val="4F5E6722"/>
    <w:rsid w:val="57F18CC7"/>
    <w:rsid w:val="5FF70A13"/>
    <w:rsid w:val="5FF9B295"/>
    <w:rsid w:val="638232A2"/>
    <w:rsid w:val="65722470"/>
    <w:rsid w:val="69F74FA6"/>
    <w:rsid w:val="6BBF79DE"/>
    <w:rsid w:val="6ED7F891"/>
    <w:rsid w:val="76BF34BA"/>
    <w:rsid w:val="77F06929"/>
    <w:rsid w:val="77FE148F"/>
    <w:rsid w:val="7B5D828D"/>
    <w:rsid w:val="7BB64CE8"/>
    <w:rsid w:val="7BFB18C9"/>
    <w:rsid w:val="7BFDC1B4"/>
    <w:rsid w:val="7BFF31F8"/>
    <w:rsid w:val="7D3EC57F"/>
    <w:rsid w:val="7DAF889B"/>
    <w:rsid w:val="7DBFE2EB"/>
    <w:rsid w:val="7DF73360"/>
    <w:rsid w:val="7EF3F9F4"/>
    <w:rsid w:val="7F699199"/>
    <w:rsid w:val="7FBFB0D9"/>
    <w:rsid w:val="7FD7D2F3"/>
    <w:rsid w:val="7FF8F275"/>
    <w:rsid w:val="8FFF2004"/>
    <w:rsid w:val="94FA3AE9"/>
    <w:rsid w:val="9DDE240F"/>
    <w:rsid w:val="A767D63E"/>
    <w:rsid w:val="B3FF45E4"/>
    <w:rsid w:val="BEB65374"/>
    <w:rsid w:val="BF7D9E0D"/>
    <w:rsid w:val="D4CDD41F"/>
    <w:rsid w:val="DAEFF184"/>
    <w:rsid w:val="DBFFB1BA"/>
    <w:rsid w:val="DE707B7A"/>
    <w:rsid w:val="DF6E9C3C"/>
    <w:rsid w:val="DF7345D4"/>
    <w:rsid w:val="DF97A23B"/>
    <w:rsid w:val="DFD379AD"/>
    <w:rsid w:val="DFDE5D23"/>
    <w:rsid w:val="E97F8C4E"/>
    <w:rsid w:val="EDB71C38"/>
    <w:rsid w:val="EEBD0473"/>
    <w:rsid w:val="EF72F701"/>
    <w:rsid w:val="EF9482A2"/>
    <w:rsid w:val="F33AAC26"/>
    <w:rsid w:val="F3D3AD5A"/>
    <w:rsid w:val="F5F7BB8E"/>
    <w:rsid w:val="F5FF8507"/>
    <w:rsid w:val="F65FC309"/>
    <w:rsid w:val="F74FFE47"/>
    <w:rsid w:val="F7B764CC"/>
    <w:rsid w:val="F8FDE517"/>
    <w:rsid w:val="F9B7FDFA"/>
    <w:rsid w:val="FB4DBCAE"/>
    <w:rsid w:val="FBEF1262"/>
    <w:rsid w:val="FCEF0F96"/>
    <w:rsid w:val="FF5EF11E"/>
    <w:rsid w:val="FFFB73EA"/>
    <w:rsid w:val="FFFB8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paragraph" w:styleId="5">
    <w:name w:val="table of authorities"/>
    <w:basedOn w:val="1"/>
    <w:next w:val="1"/>
    <w:qFormat/>
    <w:uiPriority w:val="0"/>
    <w:pPr>
      <w:ind w:left="420" w:leftChars="200"/>
    </w:pPr>
    <w:rPr>
      <w:rFonts w:ascii="Times New Roman" w:hAnsi="Times New Roman"/>
    </w:rPr>
  </w:style>
  <w:style w:type="paragraph" w:styleId="6">
    <w:name w:val="Normal Indent"/>
    <w:basedOn w:val="1"/>
    <w:unhideWhenUsed/>
    <w:qFormat/>
    <w:uiPriority w:val="99"/>
    <w:pPr>
      <w:ind w:firstLine="420" w:firstLineChars="200"/>
    </w:pPr>
    <w:rPr>
      <w:rFonts w:ascii="Calibri" w:hAnsi="Calibri" w:eastAsia="仿宋_GB2312" w:cs="宋体"/>
      <w:sz w:val="32"/>
    </w:rPr>
  </w:style>
  <w:style w:type="paragraph" w:styleId="7">
    <w:name w:val="index 6"/>
    <w:basedOn w:val="1"/>
    <w:next w:val="1"/>
    <w:qFormat/>
    <w:uiPriority w:val="0"/>
    <w:pPr>
      <w:ind w:firstLine="840"/>
    </w:pPr>
    <w:rPr>
      <w:rFonts w:ascii="Times New Roman" w:hAnsi="Times New Roman" w:cs="Arial"/>
    </w:rPr>
  </w:style>
  <w:style w:type="paragraph" w:styleId="8">
    <w:name w:val="Body Text"/>
    <w:basedOn w:val="1"/>
    <w:next w:val="9"/>
    <w:qFormat/>
    <w:uiPriority w:val="0"/>
    <w:pPr>
      <w:spacing w:after="120"/>
    </w:pPr>
  </w:style>
  <w:style w:type="paragraph" w:styleId="9">
    <w:name w:val="footer"/>
    <w:basedOn w:val="1"/>
    <w:next w:val="1"/>
    <w:link w:val="20"/>
    <w:semiHidden/>
    <w:unhideWhenUsed/>
    <w:qFormat/>
    <w:uiPriority w:val="99"/>
    <w:pPr>
      <w:tabs>
        <w:tab w:val="center" w:pos="4153"/>
        <w:tab w:val="right" w:pos="8306"/>
      </w:tabs>
      <w:snapToGrid w:val="0"/>
      <w:jc w:val="left"/>
    </w:pPr>
    <w:rPr>
      <w:sz w:val="18"/>
      <w:szCs w:val="18"/>
    </w:rPr>
  </w:style>
  <w:style w:type="paragraph" w:styleId="10">
    <w:name w:val="Body Text Indent 2"/>
    <w:basedOn w:val="1"/>
    <w:next w:val="1"/>
    <w:qFormat/>
    <w:uiPriority w:val="0"/>
    <w:pPr>
      <w:ind w:firstLine="608" w:firstLineChars="200"/>
    </w:pPr>
    <w:rPr>
      <w:rFonts w:ascii="Calibri" w:hAnsi="Calibri" w:eastAsia="宋体" w:cs="Times New Roman"/>
      <w:spacing w:val="-4"/>
      <w:szCs w:val="24"/>
    </w:rPr>
  </w:style>
  <w:style w:type="paragraph" w:styleId="11">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Body Text First Indent"/>
    <w:basedOn w:val="8"/>
    <w:next w:val="7"/>
    <w:qFormat/>
    <w:uiPriority w:val="0"/>
    <w:pPr>
      <w:ind w:firstLine="420" w:firstLineChars="1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customStyle="1" w:styleId="18">
    <w:name w:val="标题 1 Char"/>
    <w:basedOn w:val="16"/>
    <w:link w:val="3"/>
    <w:qFormat/>
    <w:uiPriority w:val="0"/>
    <w:rPr>
      <w:rFonts w:ascii="Times New Roman" w:hAnsi="Times New Roman" w:eastAsia="宋体" w:cs="Times New Roman"/>
      <w:b/>
      <w:bCs/>
      <w:kern w:val="44"/>
      <w:sz w:val="44"/>
      <w:szCs w:val="44"/>
    </w:rPr>
  </w:style>
  <w:style w:type="character" w:customStyle="1" w:styleId="19">
    <w:name w:val="页眉 Char"/>
    <w:basedOn w:val="16"/>
    <w:link w:val="11"/>
    <w:semiHidden/>
    <w:qFormat/>
    <w:uiPriority w:val="99"/>
    <w:rPr>
      <w:rFonts w:ascii="Times New Roman" w:hAnsi="Times New Roman" w:eastAsia="宋体" w:cs="Times New Roman"/>
      <w:sz w:val="18"/>
      <w:szCs w:val="18"/>
    </w:rPr>
  </w:style>
  <w:style w:type="character" w:customStyle="1" w:styleId="20">
    <w:name w:val="页脚 Char"/>
    <w:basedOn w:val="16"/>
    <w:link w:val="9"/>
    <w:semiHidden/>
    <w:qFormat/>
    <w:uiPriority w:val="99"/>
    <w:rPr>
      <w:rFonts w:ascii="Times New Roman" w:hAnsi="Times New Roman" w:eastAsia="宋体" w:cs="Times New Roman"/>
      <w:sz w:val="18"/>
      <w:szCs w:val="18"/>
    </w:rPr>
  </w:style>
  <w:style w:type="paragraph" w:styleId="21">
    <w:name w:val="List Paragraph"/>
    <w:basedOn w:val="1"/>
    <w:qFormat/>
    <w:uiPriority w:val="34"/>
    <w:pPr>
      <w:ind w:firstLine="420" w:firstLineChars="200"/>
    </w:pPr>
  </w:style>
  <w:style w:type="paragraph" w:customStyle="1" w:styleId="22">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3">
    <w:name w:val="Body Text First Indent 21"/>
    <w:basedOn w:val="24"/>
    <w:qFormat/>
    <w:uiPriority w:val="0"/>
    <w:pPr>
      <w:ind w:firstLine="420" w:firstLineChars="200"/>
    </w:pPr>
    <w:rPr>
      <w:rFonts w:ascii="Times New Roman" w:hAnsi="Times New Roman"/>
    </w:rPr>
  </w:style>
  <w:style w:type="paragraph" w:customStyle="1" w:styleId="24">
    <w:name w:val="Body Text Indent1"/>
    <w:basedOn w:val="1"/>
    <w:next w:val="25"/>
    <w:qFormat/>
    <w:uiPriority w:val="0"/>
    <w:pPr>
      <w:ind w:firstLine="660"/>
    </w:pPr>
    <w:rPr>
      <w:rFonts w:ascii="仿宋_GB2312" w:hAnsi="仿宋_GB2312" w:eastAsia="宋体" w:cs="Times New Roman"/>
      <w:color w:val="000000"/>
      <w:sz w:val="24"/>
      <w:szCs w:val="22"/>
    </w:rPr>
  </w:style>
  <w:style w:type="paragraph" w:customStyle="1" w:styleId="25">
    <w:name w:val="envelope return1"/>
    <w:basedOn w:val="1"/>
    <w:qFormat/>
    <w:uiPriority w:val="0"/>
    <w:pPr>
      <w:snapToGrid w:val="0"/>
    </w:pPr>
    <w:rPr>
      <w:rFonts w:ascii="Arial" w:hAnsi="Arial"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245</Words>
  <Characters>1398</Characters>
  <Lines>11</Lines>
  <Paragraphs>3</Paragraphs>
  <TotalTime>13</TotalTime>
  <ScaleCrop>false</ScaleCrop>
  <LinksUpToDate>false</LinksUpToDate>
  <CharactersWithSpaces>1640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2022-12-13T00:08:00Z</dcterms:created>
  <dc:creator>PC</dc:creator>
  <cp:lastModifiedBy>hss</cp:lastModifiedBy>
  <cp:lastPrinted>2025-11-13T16:24:00Z</cp:lastPrinted>
  <dcterms:modified xsi:type="dcterms:W3CDTF">2025-12-19T15:14:05Z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CEAB74A541CA405DA9003428ADB28D50_12</vt:lpwstr>
  </property>
</Properties>
</file>